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9FF" w:rsidRDefault="004F19FF" w:rsidP="004F19FF">
      <w:pPr>
        <w:jc w:val="center"/>
        <w:rPr>
          <w:rFonts w:asciiTheme="majorBidi" w:hAnsiTheme="majorBidi" w:cstheme="majorBidi"/>
          <w:b/>
          <w:bCs/>
          <w:color w:val="FF0000"/>
          <w:szCs w:val="32"/>
          <w:lang w:val="en"/>
        </w:rPr>
      </w:pPr>
    </w:p>
    <w:p w:rsidR="00594133" w:rsidRPr="00D03832" w:rsidRDefault="00594133" w:rsidP="00594133">
      <w:pPr>
        <w:bidi/>
        <w:spacing w:after="0"/>
        <w:jc w:val="center"/>
        <w:rPr>
          <w:rFonts w:ascii="Traditional Arabic" w:hAnsi="Traditional Arabic" w:cs="Traditional Arabic"/>
          <w:b/>
          <w:bCs/>
          <w:szCs w:val="32"/>
          <w:rtl/>
        </w:rPr>
      </w:pPr>
      <w:r w:rsidRPr="00D03832">
        <w:rPr>
          <w:rFonts w:ascii="Traditional Arabic" w:hAnsi="Traditional Arabic" w:cs="Traditional Arabic"/>
          <w:b/>
          <w:bCs/>
          <w:szCs w:val="32"/>
          <w:rtl/>
        </w:rPr>
        <w:t xml:space="preserve">تقويم دور بورصة سوق السلع الماليزية </w:t>
      </w:r>
      <w:r w:rsidRPr="00D03832">
        <w:rPr>
          <w:rFonts w:ascii="Traditional Arabic" w:hAnsi="Traditional Arabic" w:cs="Traditional Arabic"/>
          <w:b/>
          <w:bCs/>
          <w:szCs w:val="32"/>
        </w:rPr>
        <w:t xml:space="preserve"> </w:t>
      </w:r>
      <w:r w:rsidRPr="00D03832">
        <w:rPr>
          <w:rFonts w:ascii="Traditional Arabic" w:hAnsi="Traditional Arabic" w:cs="Traditional Arabic"/>
          <w:b/>
          <w:bCs/>
          <w:szCs w:val="32"/>
          <w:rtl/>
        </w:rPr>
        <w:t>في إصلاح التورق المصرفي المنظم</w:t>
      </w:r>
    </w:p>
    <w:p w:rsidR="00594133" w:rsidRDefault="00594133" w:rsidP="00594133">
      <w:pPr>
        <w:spacing w:after="0"/>
        <w:jc w:val="center"/>
        <w:rPr>
          <w:rFonts w:asciiTheme="majorBidi" w:hAnsiTheme="majorBidi" w:cstheme="majorBidi"/>
          <w:b/>
          <w:bCs/>
          <w:color w:val="FF0000"/>
          <w:szCs w:val="32"/>
          <w:lang w:val="en"/>
        </w:rPr>
      </w:pPr>
      <w:r w:rsidRPr="001F37E2">
        <w:rPr>
          <w:rFonts w:asciiTheme="majorBidi" w:hAnsiTheme="majorBidi" w:cstheme="majorBidi"/>
          <w:b/>
          <w:bCs/>
          <w:color w:val="FF0000"/>
          <w:szCs w:val="32"/>
          <w:lang w:val="en"/>
        </w:rPr>
        <w:t xml:space="preserve"> </w:t>
      </w:r>
      <w:r w:rsidR="004F19FF" w:rsidRPr="001F37E2">
        <w:rPr>
          <w:rFonts w:asciiTheme="majorBidi" w:hAnsiTheme="majorBidi" w:cstheme="majorBidi"/>
          <w:b/>
          <w:bCs/>
          <w:color w:val="FF0000"/>
          <w:szCs w:val="32"/>
          <w:lang w:val="en"/>
        </w:rPr>
        <w:t>[Font:</w:t>
      </w:r>
      <w:r w:rsidR="004F19FF" w:rsidRPr="001F37E2">
        <w:rPr>
          <w:rFonts w:asciiTheme="majorBidi" w:hAnsiTheme="majorBidi" w:cstheme="majorBidi" w:hint="cs"/>
          <w:b/>
          <w:bCs/>
          <w:color w:val="FF0000"/>
          <w:szCs w:val="32"/>
          <w:rtl/>
          <w:lang w:val="en"/>
        </w:rPr>
        <w:t xml:space="preserve"> </w:t>
      </w:r>
      <w:r w:rsidR="004F19FF" w:rsidRPr="001F37E2">
        <w:rPr>
          <w:rFonts w:asciiTheme="majorBidi" w:hAnsiTheme="majorBidi" w:cstheme="majorBidi"/>
          <w:b/>
          <w:bCs/>
          <w:color w:val="FF0000"/>
          <w:szCs w:val="32"/>
          <w:lang w:val="en"/>
        </w:rPr>
        <w:t>Traditional Arabic, Bold, 16]</w:t>
      </w:r>
    </w:p>
    <w:p w:rsidR="004F19FF" w:rsidRPr="007400B2" w:rsidRDefault="004F19FF" w:rsidP="004F19FF">
      <w:pPr>
        <w:jc w:val="center"/>
        <w:rPr>
          <w:rFonts w:asciiTheme="majorBidi" w:hAnsiTheme="majorBidi" w:cstheme="majorBidi"/>
          <w:i/>
          <w:iCs/>
          <w:color w:val="FF0000"/>
          <w:szCs w:val="32"/>
        </w:rPr>
      </w:pPr>
      <w:r>
        <w:rPr>
          <w:rFonts w:asciiTheme="majorBidi" w:hAnsiTheme="majorBidi" w:cstheme="majorBidi" w:hint="cs"/>
          <w:i/>
          <w:iCs/>
          <w:color w:val="FF0000"/>
          <w:szCs w:val="32"/>
          <w:rtl/>
        </w:rPr>
        <w:t xml:space="preserve"> </w:t>
      </w:r>
    </w:p>
    <w:p w:rsidR="004F19FF" w:rsidRPr="00C40878" w:rsidRDefault="00594133" w:rsidP="00594133">
      <w:pPr>
        <w:spacing w:line="240" w:lineRule="auto"/>
        <w:jc w:val="center"/>
        <w:rPr>
          <w:rFonts w:asciiTheme="majorBidi" w:hAnsiTheme="majorBidi" w:cstheme="majorBidi"/>
          <w:color w:val="FF0000"/>
          <w:szCs w:val="32"/>
        </w:rPr>
      </w:pPr>
      <w:r w:rsidRPr="00594133">
        <w:rPr>
          <w:rFonts w:ascii="Times New Roman" w:hAnsi="Times New Roman" w:cs="Times New Roman"/>
        </w:rPr>
        <w:t>EVALUATION OF THE ROLE OF BURSA SUQ AL SILA</w:t>
      </w:r>
      <w:r w:rsidRPr="00594133">
        <w:rPr>
          <w:rFonts w:ascii="Times New Roman" w:hAnsi="Times New Roman" w:cs="Times New Roman"/>
          <w:rtl/>
        </w:rPr>
        <w:t>'</w:t>
      </w:r>
      <w:r w:rsidRPr="00594133">
        <w:rPr>
          <w:rFonts w:ascii="Times New Roman" w:hAnsi="Times New Roman" w:cs="Times New Roman"/>
        </w:rPr>
        <w:t xml:space="preserve"> MALAYSIA FOR THE REFORM OF ORGANIZED BANKING TAWARRUQ</w:t>
      </w:r>
      <w:r w:rsidR="00C40878">
        <w:rPr>
          <w:rFonts w:asciiTheme="majorBidi" w:hAnsiTheme="majorBidi" w:cstheme="majorBidi"/>
          <w:i/>
          <w:iCs/>
          <w:szCs w:val="32"/>
          <w:lang w:val="en"/>
        </w:rPr>
        <w:t xml:space="preserve"> </w:t>
      </w:r>
      <w:r w:rsidR="004F19FF" w:rsidRPr="00C40878">
        <w:rPr>
          <w:rFonts w:asciiTheme="majorBidi" w:hAnsiTheme="majorBidi" w:cstheme="majorBidi"/>
          <w:color w:val="FF0000"/>
          <w:szCs w:val="32"/>
          <w:lang w:val="en"/>
        </w:rPr>
        <w:t xml:space="preserve">[Font: Times New Roman, </w:t>
      </w:r>
      <w:r w:rsidR="00C40878">
        <w:rPr>
          <w:rFonts w:asciiTheme="majorBidi" w:hAnsiTheme="majorBidi" w:cstheme="majorBidi"/>
          <w:color w:val="FF0000"/>
          <w:szCs w:val="32"/>
          <w:lang w:val="en"/>
        </w:rPr>
        <w:t>Capital</w:t>
      </w:r>
      <w:r w:rsidR="004F19FF" w:rsidRPr="00C40878">
        <w:rPr>
          <w:rFonts w:asciiTheme="majorBidi" w:hAnsiTheme="majorBidi" w:cstheme="majorBidi"/>
          <w:color w:val="FF0000"/>
          <w:szCs w:val="32"/>
          <w:lang w:val="en"/>
        </w:rPr>
        <w:t>, 11]</w:t>
      </w:r>
    </w:p>
    <w:p w:rsidR="00594133" w:rsidRDefault="00594133" w:rsidP="004F19FF">
      <w:pPr>
        <w:pStyle w:val="NoSpacing"/>
        <w:jc w:val="center"/>
        <w:rPr>
          <w:rFonts w:asciiTheme="majorBidi" w:hAnsiTheme="majorBidi" w:cs="Traditional Arabic"/>
          <w:bCs/>
          <w:sz w:val="18"/>
          <w:szCs w:val="18"/>
          <w:vertAlign w:val="superscript"/>
        </w:rPr>
      </w:pPr>
    </w:p>
    <w:p w:rsidR="004F19FF" w:rsidRPr="003536CA" w:rsidRDefault="004F19FF" w:rsidP="004F19FF">
      <w:pPr>
        <w:pStyle w:val="NoSpacing"/>
        <w:jc w:val="center"/>
        <w:rPr>
          <w:rFonts w:asciiTheme="majorBidi" w:hAnsiTheme="majorBidi" w:cs="Traditional Arabic"/>
          <w:bCs/>
          <w:sz w:val="18"/>
          <w:szCs w:val="18"/>
        </w:rPr>
      </w:pPr>
      <w:proofErr w:type="spellStart"/>
      <w:r w:rsidRPr="003536CA">
        <w:rPr>
          <w:rFonts w:asciiTheme="majorBidi" w:hAnsiTheme="majorBidi" w:cs="Traditional Arabic"/>
          <w:bCs/>
          <w:sz w:val="18"/>
          <w:szCs w:val="18"/>
          <w:vertAlign w:val="superscript"/>
        </w:rPr>
        <w:t>i</w:t>
      </w:r>
      <w:proofErr w:type="spellEnd"/>
      <w:r>
        <w:rPr>
          <w:rFonts w:asciiTheme="majorBidi" w:hAnsiTheme="majorBidi" w:cs="Traditional Arabic"/>
          <w:bCs/>
          <w:sz w:val="18"/>
          <w:szCs w:val="18"/>
          <w:vertAlign w:val="superscript"/>
        </w:rPr>
        <w:t>*</w:t>
      </w:r>
      <w:proofErr w:type="spellStart"/>
      <w:r w:rsidRPr="003536CA">
        <w:rPr>
          <w:rFonts w:asciiTheme="majorBidi" w:hAnsiTheme="majorBidi" w:cs="Traditional Arabic"/>
          <w:bCs/>
          <w:sz w:val="18"/>
          <w:szCs w:val="18"/>
        </w:rPr>
        <w:t>Setiyawan</w:t>
      </w:r>
      <w:proofErr w:type="spellEnd"/>
      <w:r w:rsidRPr="003536CA">
        <w:rPr>
          <w:rFonts w:asciiTheme="majorBidi" w:hAnsiTheme="majorBidi" w:cs="Traditional Arabic"/>
          <w:bCs/>
          <w:sz w:val="18"/>
          <w:szCs w:val="18"/>
        </w:rPr>
        <w:t xml:space="preserve"> </w:t>
      </w:r>
      <w:proofErr w:type="spellStart"/>
      <w:r w:rsidRPr="003536CA">
        <w:rPr>
          <w:rFonts w:asciiTheme="majorBidi" w:hAnsiTheme="majorBidi" w:cs="Traditional Arabic"/>
          <w:bCs/>
          <w:sz w:val="18"/>
          <w:szCs w:val="18"/>
        </w:rPr>
        <w:t>Gunardi</w:t>
      </w:r>
      <w:proofErr w:type="spellEnd"/>
      <w:r w:rsidRPr="003536CA">
        <w:rPr>
          <w:rFonts w:asciiTheme="majorBidi" w:hAnsiTheme="majorBidi" w:cs="Traditional Arabic"/>
          <w:bCs/>
          <w:sz w:val="18"/>
          <w:szCs w:val="18"/>
        </w:rPr>
        <w:t xml:space="preserve">, </w:t>
      </w:r>
      <w:proofErr w:type="spellStart"/>
      <w:r>
        <w:rPr>
          <w:rFonts w:asciiTheme="majorBidi" w:hAnsiTheme="majorBidi" w:cs="Traditional Arabic"/>
          <w:bCs/>
          <w:sz w:val="18"/>
          <w:szCs w:val="18"/>
          <w:vertAlign w:val="superscript"/>
        </w:rPr>
        <w:t>i</w:t>
      </w:r>
      <w:r w:rsidRPr="003536CA">
        <w:rPr>
          <w:rFonts w:asciiTheme="majorBidi" w:hAnsiTheme="majorBidi" w:cs="Traditional Arabic"/>
          <w:bCs/>
          <w:sz w:val="18"/>
          <w:szCs w:val="18"/>
        </w:rPr>
        <w:t>Yasmin</w:t>
      </w:r>
      <w:proofErr w:type="spellEnd"/>
      <w:r w:rsidRPr="003536CA">
        <w:rPr>
          <w:rFonts w:asciiTheme="majorBidi" w:hAnsiTheme="majorBidi" w:cs="Traditional Arabic"/>
          <w:bCs/>
          <w:sz w:val="18"/>
          <w:szCs w:val="18"/>
        </w:rPr>
        <w:t xml:space="preserve"> </w:t>
      </w:r>
      <w:proofErr w:type="spellStart"/>
      <w:r w:rsidRPr="003536CA">
        <w:rPr>
          <w:rFonts w:asciiTheme="majorBidi" w:hAnsiTheme="majorBidi" w:cs="Traditional Arabic"/>
          <w:bCs/>
          <w:sz w:val="18"/>
          <w:szCs w:val="18"/>
        </w:rPr>
        <w:t>Hanani</w:t>
      </w:r>
      <w:proofErr w:type="spellEnd"/>
      <w:r w:rsidRPr="003536CA">
        <w:rPr>
          <w:rFonts w:asciiTheme="majorBidi" w:hAnsiTheme="majorBidi" w:cs="Traditional Arabic"/>
          <w:bCs/>
          <w:sz w:val="18"/>
          <w:szCs w:val="18"/>
        </w:rPr>
        <w:t xml:space="preserve"> </w:t>
      </w:r>
      <w:proofErr w:type="spellStart"/>
      <w:r w:rsidRPr="003536CA">
        <w:rPr>
          <w:rFonts w:asciiTheme="majorBidi" w:hAnsiTheme="majorBidi" w:cs="Traditional Arabic"/>
          <w:bCs/>
          <w:sz w:val="18"/>
          <w:szCs w:val="18"/>
        </w:rPr>
        <w:t>Mohd</w:t>
      </w:r>
      <w:proofErr w:type="spellEnd"/>
      <w:r w:rsidRPr="003536CA">
        <w:rPr>
          <w:rFonts w:asciiTheme="majorBidi" w:hAnsiTheme="majorBidi" w:cs="Traditional Arabic"/>
          <w:bCs/>
          <w:sz w:val="18"/>
          <w:szCs w:val="18"/>
        </w:rPr>
        <w:t xml:space="preserve"> </w:t>
      </w:r>
      <w:proofErr w:type="spellStart"/>
      <w:r w:rsidRPr="003536CA">
        <w:rPr>
          <w:rFonts w:asciiTheme="majorBidi" w:hAnsiTheme="majorBidi" w:cs="Traditional Arabic"/>
          <w:bCs/>
          <w:sz w:val="18"/>
          <w:szCs w:val="18"/>
        </w:rPr>
        <w:t>Safian</w:t>
      </w:r>
      <w:proofErr w:type="spellEnd"/>
      <w:r>
        <w:rPr>
          <w:rFonts w:asciiTheme="majorBidi" w:hAnsiTheme="majorBidi" w:cs="Traditional Arabic"/>
          <w:bCs/>
          <w:sz w:val="18"/>
          <w:szCs w:val="18"/>
        </w:rPr>
        <w:t xml:space="preserve"> </w:t>
      </w:r>
      <w:r w:rsidRPr="00084977">
        <w:rPr>
          <w:rFonts w:asciiTheme="majorBidi" w:hAnsiTheme="majorBidi" w:cs="Traditional Arabic"/>
          <w:bCs/>
          <w:color w:val="FF0000"/>
          <w:sz w:val="18"/>
          <w:szCs w:val="18"/>
        </w:rPr>
        <w:t>[Font: Times New Roman, 9]</w:t>
      </w:r>
    </w:p>
    <w:p w:rsidR="004F19FF" w:rsidRDefault="004F19FF" w:rsidP="004F19FF">
      <w:pPr>
        <w:pStyle w:val="NoSpacing"/>
        <w:bidi/>
        <w:jc w:val="center"/>
        <w:rPr>
          <w:rFonts w:ascii="Traditional Arabic" w:hAnsi="Traditional Arabic" w:cs="Traditional Arabic"/>
          <w:b/>
          <w:sz w:val="18"/>
          <w:szCs w:val="18"/>
        </w:rPr>
      </w:pPr>
    </w:p>
    <w:p w:rsidR="004F19FF" w:rsidRPr="003536CA" w:rsidRDefault="004F19FF" w:rsidP="004F19FF">
      <w:pPr>
        <w:pStyle w:val="NoSpacing"/>
        <w:jc w:val="center"/>
        <w:rPr>
          <w:rFonts w:asciiTheme="majorBidi" w:hAnsiTheme="majorBidi" w:cs="Traditional Arabic"/>
          <w:bCs/>
          <w:sz w:val="18"/>
          <w:szCs w:val="18"/>
        </w:rPr>
      </w:pPr>
      <w:proofErr w:type="spellStart"/>
      <w:r w:rsidRPr="007400B2">
        <w:rPr>
          <w:rFonts w:asciiTheme="majorBidi" w:hAnsiTheme="majorBidi" w:cs="Traditional Arabic"/>
          <w:bCs/>
          <w:sz w:val="18"/>
          <w:szCs w:val="18"/>
          <w:vertAlign w:val="superscript"/>
        </w:rPr>
        <w:t>i</w:t>
      </w:r>
      <w:r w:rsidRPr="003536CA">
        <w:rPr>
          <w:rFonts w:asciiTheme="majorBidi" w:hAnsiTheme="majorBidi" w:cs="Traditional Arabic"/>
          <w:bCs/>
          <w:sz w:val="18"/>
          <w:szCs w:val="18"/>
        </w:rPr>
        <w:t>Faculty</w:t>
      </w:r>
      <w:proofErr w:type="spellEnd"/>
      <w:r w:rsidRPr="003536CA">
        <w:rPr>
          <w:rFonts w:asciiTheme="majorBidi" w:hAnsiTheme="majorBidi" w:cs="Traditional Arabic"/>
          <w:bCs/>
          <w:sz w:val="18"/>
          <w:szCs w:val="18"/>
        </w:rPr>
        <w:t xml:space="preserve"> of Syariah and Law, </w:t>
      </w:r>
      <w:r>
        <w:rPr>
          <w:rFonts w:asciiTheme="majorBidi" w:hAnsiTheme="majorBidi" w:cs="Traditional Arabic"/>
          <w:bCs/>
          <w:sz w:val="18"/>
          <w:szCs w:val="18"/>
        </w:rPr>
        <w:t xml:space="preserve">Universiti Sains Islam Malaysia, Nilai 71800 </w:t>
      </w:r>
      <w:r w:rsidRPr="00084977">
        <w:rPr>
          <w:rFonts w:asciiTheme="majorBidi" w:hAnsiTheme="majorBidi" w:cs="Traditional Arabic"/>
          <w:bCs/>
          <w:color w:val="FF0000"/>
          <w:sz w:val="18"/>
          <w:szCs w:val="18"/>
        </w:rPr>
        <w:t>[Font: Times New Roman, 9]</w:t>
      </w:r>
    </w:p>
    <w:p w:rsidR="004F19FF" w:rsidRPr="003536CA" w:rsidRDefault="004F19FF" w:rsidP="004F19FF">
      <w:pPr>
        <w:pStyle w:val="NoSpacing"/>
        <w:jc w:val="center"/>
        <w:rPr>
          <w:rFonts w:asciiTheme="majorBidi" w:hAnsiTheme="majorBidi" w:cs="Traditional Arabic"/>
          <w:bCs/>
          <w:sz w:val="18"/>
          <w:szCs w:val="18"/>
        </w:rPr>
      </w:pPr>
    </w:p>
    <w:p w:rsidR="004F19FF" w:rsidRPr="003536CA" w:rsidRDefault="004F19FF" w:rsidP="004F19FF">
      <w:pPr>
        <w:pStyle w:val="NoSpacing"/>
        <w:bidi/>
        <w:jc w:val="center"/>
        <w:rPr>
          <w:rFonts w:ascii="Traditional Arabic" w:hAnsi="Traditional Arabic" w:cs="Traditional Arabic"/>
          <w:b/>
          <w:sz w:val="18"/>
          <w:szCs w:val="18"/>
        </w:rPr>
      </w:pPr>
    </w:p>
    <w:p w:rsidR="004F19FF" w:rsidRPr="003536CA" w:rsidRDefault="004F19FF" w:rsidP="004F19FF">
      <w:pPr>
        <w:pStyle w:val="NoSpacing"/>
        <w:jc w:val="center"/>
        <w:rPr>
          <w:rStyle w:val="Hyperlink"/>
          <w:color w:val="auto"/>
          <w:sz w:val="18"/>
          <w:szCs w:val="18"/>
          <w:u w:val="none"/>
        </w:rPr>
      </w:pPr>
      <w:r w:rsidRPr="00084977">
        <w:rPr>
          <w:rFonts w:asciiTheme="majorBidi" w:hAnsiTheme="majorBidi" w:cs="Traditional Arabic"/>
          <w:bCs/>
          <w:sz w:val="18"/>
          <w:szCs w:val="18"/>
          <w:vertAlign w:val="superscript"/>
        </w:rPr>
        <w:t>*</w:t>
      </w:r>
      <w:r w:rsidRPr="00084977">
        <w:rPr>
          <w:rFonts w:asciiTheme="majorBidi" w:hAnsiTheme="majorBidi" w:cs="Traditional Arabic"/>
          <w:bCs/>
          <w:sz w:val="18"/>
          <w:szCs w:val="18"/>
        </w:rPr>
        <w:t xml:space="preserve">(Corresponding author) email: </w:t>
      </w:r>
      <w:hyperlink r:id="rId7" w:history="1">
        <w:r w:rsidRPr="00084977">
          <w:rPr>
            <w:rStyle w:val="Hyperlink"/>
            <w:rFonts w:asciiTheme="majorBidi" w:hAnsiTheme="majorBidi" w:cs="Traditional Arabic"/>
            <w:bCs/>
            <w:color w:val="auto"/>
            <w:sz w:val="18"/>
            <w:szCs w:val="18"/>
            <w:u w:val="none"/>
          </w:rPr>
          <w:t>setiyawan@usim.edu.my</w:t>
        </w:r>
      </w:hyperlink>
      <w:r w:rsidRPr="00084977">
        <w:rPr>
          <w:rStyle w:val="Hyperlink"/>
          <w:rFonts w:asciiTheme="majorBidi" w:hAnsiTheme="majorBidi" w:cs="Traditional Arabic"/>
          <w:bCs/>
          <w:color w:val="auto"/>
          <w:sz w:val="18"/>
          <w:szCs w:val="18"/>
        </w:rPr>
        <w:t xml:space="preserve"> </w:t>
      </w:r>
      <w:r w:rsidRPr="00084977">
        <w:rPr>
          <w:rFonts w:asciiTheme="majorBidi" w:hAnsiTheme="majorBidi" w:cs="Traditional Arabic"/>
          <w:bCs/>
          <w:sz w:val="18"/>
          <w:szCs w:val="18"/>
        </w:rPr>
        <w:t xml:space="preserve"> </w:t>
      </w:r>
      <w:r w:rsidRPr="00084977">
        <w:rPr>
          <w:rFonts w:asciiTheme="majorBidi" w:hAnsiTheme="majorBidi" w:cs="Traditional Arabic"/>
          <w:bCs/>
          <w:color w:val="FF0000"/>
          <w:sz w:val="18"/>
          <w:szCs w:val="18"/>
        </w:rPr>
        <w:t>[Font: Times New Roman, 9]</w:t>
      </w:r>
    </w:p>
    <w:p w:rsidR="004F19FF" w:rsidRPr="003536CA" w:rsidRDefault="004F19FF" w:rsidP="004F19FF">
      <w:pPr>
        <w:pStyle w:val="NoSpacing"/>
        <w:jc w:val="center"/>
        <w:rPr>
          <w:rStyle w:val="Hyperlink"/>
          <w:rFonts w:asciiTheme="majorBidi" w:hAnsiTheme="majorBidi" w:cs="Traditional Arabic"/>
          <w:bCs/>
          <w:sz w:val="18"/>
          <w:szCs w:val="18"/>
        </w:rPr>
      </w:pPr>
    </w:p>
    <w:p w:rsidR="004F19FF" w:rsidRDefault="004F19FF" w:rsidP="004F19FF">
      <w:pPr>
        <w:pStyle w:val="Default"/>
        <w:rPr>
          <w:rFonts w:asciiTheme="majorBidi" w:hAnsiTheme="majorBidi" w:cstheme="majorBidi"/>
          <w:b/>
          <w:bCs/>
          <w:sz w:val="22"/>
          <w:szCs w:val="22"/>
        </w:rPr>
      </w:pPr>
    </w:p>
    <w:p w:rsidR="004F19FF" w:rsidRPr="00084977" w:rsidRDefault="004F19FF" w:rsidP="004F19FF">
      <w:pPr>
        <w:jc w:val="center"/>
        <w:rPr>
          <w:rFonts w:asciiTheme="majorBidi" w:hAnsiTheme="majorBidi" w:cstheme="majorBidi"/>
          <w:b/>
          <w:bCs/>
          <w:color w:val="FF0000"/>
          <w:szCs w:val="32"/>
        </w:rPr>
      </w:pPr>
      <w:r>
        <w:rPr>
          <w:rFonts w:ascii="Traditional Arabic" w:hAnsi="Traditional Arabic" w:cs="Traditional Arabic"/>
          <w:bCs/>
          <w:szCs w:val="32"/>
        </w:rPr>
        <w:t xml:space="preserve"> </w:t>
      </w:r>
      <w:r>
        <w:rPr>
          <w:rFonts w:ascii="Traditional Arabic" w:hAnsi="Traditional Arabic" w:cs="Traditional Arabic"/>
          <w:bCs/>
          <w:szCs w:val="32"/>
          <w:rtl/>
        </w:rPr>
        <w:t>ملخص البحث</w:t>
      </w:r>
      <w:r>
        <w:rPr>
          <w:rFonts w:ascii="Traditional Arabic" w:hAnsi="Traditional Arabic" w:cs="Traditional Arabic"/>
          <w:bCs/>
          <w:szCs w:val="32"/>
        </w:rPr>
        <w:t xml:space="preserve"> </w:t>
      </w:r>
      <w:r w:rsidRPr="00084977">
        <w:rPr>
          <w:rFonts w:asciiTheme="majorBidi" w:hAnsiTheme="majorBidi" w:cstheme="majorBidi"/>
          <w:b/>
          <w:bCs/>
          <w:color w:val="FF0000"/>
          <w:szCs w:val="32"/>
          <w:lang w:val="en"/>
        </w:rPr>
        <w:t>[Font:</w:t>
      </w:r>
      <w:r>
        <w:rPr>
          <w:rFonts w:asciiTheme="majorBidi" w:hAnsiTheme="majorBidi" w:cstheme="majorBidi"/>
          <w:b/>
          <w:bCs/>
          <w:color w:val="FF0000"/>
          <w:szCs w:val="32"/>
          <w:lang w:val="en"/>
        </w:rPr>
        <w:t xml:space="preserve"> Traditional Arabic</w:t>
      </w:r>
      <w:r w:rsidRPr="00084977">
        <w:rPr>
          <w:rFonts w:asciiTheme="majorBidi" w:hAnsiTheme="majorBidi" w:cstheme="majorBidi"/>
          <w:b/>
          <w:bCs/>
          <w:color w:val="FF0000"/>
          <w:szCs w:val="32"/>
          <w:lang w:val="en"/>
        </w:rPr>
        <w:t>,</w:t>
      </w:r>
      <w:r>
        <w:rPr>
          <w:rFonts w:asciiTheme="majorBidi" w:hAnsiTheme="majorBidi" w:cstheme="majorBidi"/>
          <w:b/>
          <w:bCs/>
          <w:color w:val="FF0000"/>
          <w:szCs w:val="32"/>
          <w:lang w:val="en"/>
        </w:rPr>
        <w:t xml:space="preserve"> Bold</w:t>
      </w:r>
      <w:r w:rsidRPr="00084977">
        <w:rPr>
          <w:rFonts w:asciiTheme="majorBidi" w:hAnsiTheme="majorBidi" w:cstheme="majorBidi"/>
          <w:b/>
          <w:bCs/>
          <w:color w:val="FF0000"/>
          <w:szCs w:val="32"/>
          <w:lang w:val="en"/>
        </w:rPr>
        <w:t>, 1</w:t>
      </w:r>
      <w:r>
        <w:rPr>
          <w:rFonts w:asciiTheme="majorBidi" w:hAnsiTheme="majorBidi" w:cstheme="majorBidi"/>
          <w:b/>
          <w:bCs/>
          <w:color w:val="FF0000"/>
          <w:szCs w:val="32"/>
          <w:lang w:val="en"/>
        </w:rPr>
        <w:t>6</w:t>
      </w:r>
      <w:r w:rsidRPr="00084977">
        <w:rPr>
          <w:rFonts w:asciiTheme="majorBidi" w:hAnsiTheme="majorBidi" w:cstheme="majorBidi"/>
          <w:b/>
          <w:bCs/>
          <w:color w:val="FF0000"/>
          <w:szCs w:val="32"/>
          <w:lang w:val="en"/>
        </w:rPr>
        <w:t>]</w:t>
      </w:r>
    </w:p>
    <w:p w:rsidR="004F19FF" w:rsidRDefault="00594133" w:rsidP="004F19FF">
      <w:pPr>
        <w:bidi/>
        <w:spacing w:after="0"/>
        <w:jc w:val="both"/>
        <w:rPr>
          <w:rFonts w:ascii="Traditional Arabic" w:hAnsi="Traditional Arabic" w:cs="Traditional Arabic"/>
          <w:b/>
          <w:szCs w:val="32"/>
        </w:rPr>
      </w:pPr>
      <w:r w:rsidRPr="00D03832">
        <w:rPr>
          <w:rStyle w:val="Char"/>
          <w:szCs w:val="32"/>
          <w:rtl/>
        </w:rPr>
        <w:t>تهدف الدراسة إلى بيان وت</w:t>
      </w:r>
      <w:r w:rsidRPr="00330995">
        <w:rPr>
          <w:rStyle w:val="Char"/>
          <w:szCs w:val="32"/>
          <w:rtl/>
        </w:rPr>
        <w:t>قويم دور بورصة سوق السلع الماليزية في إصلاح العمليات المالية القائمة على التورق المصرفي المنظم؛ وذلك من خلال بيان نبذة مختصرة عن التورق الفردي والتورق المصرفي المنظم وموقف العلماء منهما، مع توضيح مختصر لبور</w:t>
      </w:r>
      <w:r w:rsidRPr="00D03832">
        <w:rPr>
          <w:rStyle w:val="Char"/>
          <w:szCs w:val="32"/>
          <w:rtl/>
        </w:rPr>
        <w:t>صة سوق السلع الماليزية وآلية عمليات التورق فيها، ثم ذكر أهم الإشكالات الشرعية التي حَرَّمتْ لأجلها المجامعُ الفقهية وبعض الهيئات الشرعية وجمهور العلماء المعاصرين التورقَ المصرفي المنظم الذي يُجرى في السلع الدولية عبر بورصات عالمية وغيرها؛ والتي منها</w:t>
      </w:r>
      <w:r>
        <w:rPr>
          <w:rFonts w:asciiTheme="majorHAnsi" w:eastAsia="Calibri" w:hAnsiTheme="majorHAnsi" w:cs="Traditional Arabic" w:hint="cs"/>
          <w:sz w:val="32"/>
          <w:szCs w:val="32"/>
          <w:rtl/>
        </w:rPr>
        <w:t>..</w:t>
      </w:r>
      <w:r w:rsidR="004F19FF">
        <w:rPr>
          <w:rFonts w:ascii="Traditional Arabic" w:hAnsi="Traditional Arabic" w:cs="Traditional Arabic"/>
          <w:szCs w:val="32"/>
          <w:rtl/>
        </w:rPr>
        <w:t xml:space="preserve">. </w:t>
      </w:r>
    </w:p>
    <w:p w:rsidR="004F19FF" w:rsidRPr="00084977" w:rsidRDefault="004F19FF" w:rsidP="004F19FF">
      <w:pPr>
        <w:bidi/>
        <w:spacing w:after="0"/>
        <w:jc w:val="both"/>
        <w:rPr>
          <w:rFonts w:asciiTheme="majorBidi" w:hAnsiTheme="majorBidi" w:cstheme="majorBidi"/>
          <w:b/>
          <w:bCs/>
          <w:color w:val="FF0000"/>
          <w:szCs w:val="32"/>
        </w:rPr>
      </w:pPr>
      <w:r w:rsidRPr="00084977">
        <w:rPr>
          <w:rFonts w:asciiTheme="majorBidi" w:hAnsiTheme="majorBidi" w:cstheme="majorBidi"/>
          <w:color w:val="FF0000"/>
          <w:szCs w:val="32"/>
          <w:lang w:val="en"/>
        </w:rPr>
        <w:t>[Font:</w:t>
      </w:r>
      <w:r>
        <w:rPr>
          <w:rFonts w:asciiTheme="majorBidi" w:hAnsiTheme="majorBidi" w:cstheme="majorBidi"/>
          <w:color w:val="FF0000"/>
          <w:szCs w:val="32"/>
          <w:lang w:val="en"/>
        </w:rPr>
        <w:t xml:space="preserve"> </w:t>
      </w:r>
      <w:r w:rsidRPr="00084977">
        <w:rPr>
          <w:rFonts w:asciiTheme="majorBidi" w:hAnsiTheme="majorBidi" w:cstheme="majorBidi"/>
          <w:color w:val="FF0000"/>
          <w:szCs w:val="32"/>
          <w:lang w:val="en"/>
        </w:rPr>
        <w:t>Traditional Arabic, 16</w:t>
      </w:r>
      <w:r>
        <w:rPr>
          <w:rFonts w:asciiTheme="majorBidi" w:hAnsiTheme="majorBidi" w:cstheme="majorBidi"/>
          <w:color w:val="FF0000"/>
          <w:szCs w:val="32"/>
          <w:lang w:val="en"/>
        </w:rPr>
        <w:t>, Not more than 300 words]</w:t>
      </w:r>
    </w:p>
    <w:p w:rsidR="004F19FF" w:rsidRPr="00397DFF" w:rsidRDefault="004F19FF" w:rsidP="004F19FF">
      <w:pPr>
        <w:bidi/>
        <w:spacing w:after="0" w:line="240" w:lineRule="auto"/>
        <w:jc w:val="both"/>
        <w:rPr>
          <w:rFonts w:ascii="Traditional Arabic" w:hAnsi="Traditional Arabic" w:cs="Traditional Arabic"/>
          <w:b/>
          <w:sz w:val="2"/>
          <w:szCs w:val="10"/>
          <w:rtl/>
        </w:rPr>
      </w:pPr>
    </w:p>
    <w:p w:rsidR="004F19FF" w:rsidRDefault="004F19FF" w:rsidP="004F19FF">
      <w:pPr>
        <w:bidi/>
        <w:spacing w:after="0" w:line="240" w:lineRule="auto"/>
        <w:rPr>
          <w:rFonts w:ascii="Traditional Arabic" w:hAnsi="Traditional Arabic" w:cs="Traditional Arabic"/>
          <w:i/>
          <w:iCs/>
          <w:szCs w:val="32"/>
        </w:rPr>
      </w:pPr>
      <w:r>
        <w:rPr>
          <w:rFonts w:ascii="Traditional Arabic" w:hAnsi="Traditional Arabic" w:cs="Traditional Arabic"/>
          <w:b/>
          <w:bCs/>
          <w:i/>
          <w:iCs/>
          <w:szCs w:val="32"/>
          <w:rtl/>
        </w:rPr>
        <w:t>الكلم</w:t>
      </w:r>
      <w:r>
        <w:rPr>
          <w:rFonts w:ascii="Traditional Arabic" w:hAnsi="Traditional Arabic" w:cs="Traditional Arabic" w:hint="cs"/>
          <w:b/>
          <w:bCs/>
          <w:i/>
          <w:iCs/>
          <w:szCs w:val="32"/>
          <w:rtl/>
        </w:rPr>
        <w:t>ات الم</w:t>
      </w:r>
      <w:r>
        <w:rPr>
          <w:rFonts w:ascii="Traditional Arabic" w:hAnsi="Traditional Arabic" w:cs="Traditional Arabic"/>
          <w:b/>
          <w:bCs/>
          <w:i/>
          <w:iCs/>
          <w:szCs w:val="32"/>
          <w:rtl/>
        </w:rPr>
        <w:t>فتاحية</w:t>
      </w:r>
      <w:r w:rsidR="00594133">
        <w:rPr>
          <w:rFonts w:ascii="Traditional Arabic" w:hAnsi="Traditional Arabic" w:cs="Traditional Arabic" w:hint="cs"/>
          <w:b/>
          <w:bCs/>
          <w:i/>
          <w:iCs/>
          <w:szCs w:val="32"/>
          <w:rtl/>
        </w:rPr>
        <w:t>:</w:t>
      </w:r>
      <w:r w:rsidR="00594133" w:rsidRPr="00594133">
        <w:rPr>
          <w:rFonts w:asciiTheme="majorHAnsi" w:eastAsia="Calibri" w:hAnsiTheme="majorHAnsi" w:cs="Traditional Arabic" w:hint="cs"/>
          <w:sz w:val="32"/>
          <w:szCs w:val="32"/>
          <w:rtl/>
        </w:rPr>
        <w:t xml:space="preserve"> </w:t>
      </w:r>
      <w:r w:rsidR="0067064A" w:rsidRPr="0067064A">
        <w:rPr>
          <w:rStyle w:val="Char"/>
          <w:i/>
          <w:iCs/>
          <w:szCs w:val="32"/>
          <w:rtl/>
        </w:rPr>
        <w:t>التورق، بورصة سوق السلع، التقويم</w:t>
      </w:r>
      <w:r>
        <w:rPr>
          <w:rFonts w:ascii="Traditional Arabic" w:hAnsi="Traditional Arabic" w:cs="Traditional Arabic"/>
          <w:i/>
          <w:iCs/>
          <w:szCs w:val="32"/>
          <w:rtl/>
        </w:rPr>
        <w:t>.</w:t>
      </w:r>
      <w:r>
        <w:rPr>
          <w:rFonts w:ascii="Traditional Arabic" w:hAnsi="Traditional Arabic" w:cs="Traditional Arabic"/>
          <w:i/>
          <w:iCs/>
          <w:szCs w:val="32"/>
        </w:rPr>
        <w:t xml:space="preserve"> </w:t>
      </w:r>
      <w:r w:rsidRPr="00084977">
        <w:rPr>
          <w:rFonts w:asciiTheme="majorBidi" w:hAnsiTheme="majorBidi" w:cstheme="majorBidi"/>
          <w:color w:val="FF0000"/>
          <w:szCs w:val="32"/>
          <w:lang w:val="en"/>
        </w:rPr>
        <w:t>[Font:</w:t>
      </w:r>
      <w:r>
        <w:rPr>
          <w:rFonts w:asciiTheme="majorBidi" w:hAnsiTheme="majorBidi" w:cstheme="majorBidi"/>
          <w:color w:val="FF0000"/>
          <w:szCs w:val="32"/>
          <w:lang w:val="en"/>
        </w:rPr>
        <w:t xml:space="preserve"> </w:t>
      </w:r>
      <w:r w:rsidRPr="00084977">
        <w:rPr>
          <w:rFonts w:asciiTheme="majorBidi" w:hAnsiTheme="majorBidi" w:cstheme="majorBidi"/>
          <w:color w:val="FF0000"/>
          <w:szCs w:val="32"/>
          <w:lang w:val="en"/>
        </w:rPr>
        <w:t xml:space="preserve">Traditional Arabic, </w:t>
      </w:r>
      <w:r>
        <w:rPr>
          <w:rFonts w:asciiTheme="majorBidi" w:hAnsiTheme="majorBidi" w:cstheme="majorBidi"/>
          <w:color w:val="FF0000"/>
          <w:szCs w:val="32"/>
          <w:lang w:val="en"/>
        </w:rPr>
        <w:t xml:space="preserve">Italic, </w:t>
      </w:r>
      <w:r w:rsidRPr="00084977">
        <w:rPr>
          <w:rFonts w:asciiTheme="majorBidi" w:hAnsiTheme="majorBidi" w:cstheme="majorBidi"/>
          <w:color w:val="FF0000"/>
          <w:szCs w:val="32"/>
          <w:lang w:val="en"/>
        </w:rPr>
        <w:t>16</w:t>
      </w:r>
      <w:r>
        <w:rPr>
          <w:rFonts w:asciiTheme="majorBidi" w:hAnsiTheme="majorBidi" w:cstheme="majorBidi"/>
          <w:color w:val="FF0000"/>
          <w:szCs w:val="32"/>
          <w:lang w:val="en"/>
        </w:rPr>
        <w:t xml:space="preserve">] </w:t>
      </w:r>
    </w:p>
    <w:p w:rsidR="004F19FF" w:rsidRPr="00397DFF" w:rsidRDefault="004F19FF" w:rsidP="004F19FF">
      <w:pPr>
        <w:jc w:val="center"/>
        <w:rPr>
          <w:rFonts w:asciiTheme="majorBidi" w:hAnsiTheme="majorBidi" w:cs="Traditional Arabic"/>
          <w:b/>
          <w:bCs/>
          <w:sz w:val="12"/>
        </w:rPr>
      </w:pPr>
    </w:p>
    <w:p w:rsidR="004F19FF" w:rsidRPr="001F37E2" w:rsidRDefault="004F19FF" w:rsidP="004F19FF">
      <w:pPr>
        <w:jc w:val="center"/>
        <w:rPr>
          <w:rFonts w:asciiTheme="majorBidi" w:hAnsiTheme="majorBidi" w:cstheme="majorBidi"/>
          <w:b/>
          <w:bCs/>
          <w:color w:val="FF0000"/>
          <w:szCs w:val="32"/>
        </w:rPr>
      </w:pPr>
      <w:r>
        <w:rPr>
          <w:rFonts w:asciiTheme="majorBidi" w:hAnsiTheme="majorBidi" w:cs="Traditional Arabic"/>
          <w:b/>
          <w:bCs/>
          <w:szCs w:val="32"/>
        </w:rPr>
        <w:t>ABSTRAC</w:t>
      </w:r>
      <w:r>
        <w:rPr>
          <w:rFonts w:asciiTheme="majorBidi" w:hAnsiTheme="majorBidi" w:cs="Traditional Arabic"/>
          <w:b/>
          <w:bCs/>
          <w:szCs w:val="32"/>
          <w:lang w:val="en-US"/>
        </w:rPr>
        <w:t xml:space="preserve">T </w:t>
      </w:r>
      <w:r w:rsidRPr="001F37E2">
        <w:rPr>
          <w:rFonts w:asciiTheme="majorBidi" w:hAnsiTheme="majorBidi" w:cstheme="majorBidi"/>
          <w:b/>
          <w:bCs/>
          <w:color w:val="FF0000"/>
          <w:szCs w:val="32"/>
          <w:lang w:val="en"/>
        </w:rPr>
        <w:t>[Font:</w:t>
      </w:r>
      <w:r>
        <w:rPr>
          <w:rFonts w:asciiTheme="majorBidi" w:hAnsiTheme="majorBidi" w:cstheme="majorBidi"/>
          <w:b/>
          <w:bCs/>
          <w:color w:val="FF0000"/>
          <w:szCs w:val="32"/>
          <w:lang w:val="en"/>
        </w:rPr>
        <w:t xml:space="preserve"> </w:t>
      </w:r>
      <w:r w:rsidRPr="001F37E2">
        <w:rPr>
          <w:rFonts w:asciiTheme="majorBidi" w:hAnsiTheme="majorBidi" w:cstheme="majorBidi"/>
          <w:b/>
          <w:bCs/>
          <w:color w:val="FF0000"/>
          <w:szCs w:val="32"/>
          <w:lang w:val="en"/>
        </w:rPr>
        <w:t>Times New Roman,</w:t>
      </w:r>
      <w:r>
        <w:rPr>
          <w:rFonts w:asciiTheme="majorBidi" w:hAnsiTheme="majorBidi" w:cstheme="majorBidi"/>
          <w:b/>
          <w:bCs/>
          <w:color w:val="FF0000"/>
          <w:szCs w:val="32"/>
          <w:lang w:val="en"/>
        </w:rPr>
        <w:t xml:space="preserve"> Bold, </w:t>
      </w:r>
      <w:r w:rsidRPr="001F37E2">
        <w:rPr>
          <w:rFonts w:asciiTheme="majorBidi" w:hAnsiTheme="majorBidi" w:cstheme="majorBidi"/>
          <w:b/>
          <w:bCs/>
          <w:color w:val="FF0000"/>
          <w:szCs w:val="32"/>
          <w:lang w:val="en"/>
        </w:rPr>
        <w:t>11]</w:t>
      </w:r>
    </w:p>
    <w:p w:rsidR="004F19FF" w:rsidRPr="001F37E2" w:rsidRDefault="00594133" w:rsidP="004F19FF">
      <w:pPr>
        <w:jc w:val="both"/>
        <w:rPr>
          <w:rFonts w:asciiTheme="majorBidi" w:hAnsiTheme="majorBidi" w:cstheme="majorBidi"/>
          <w:b/>
          <w:bCs/>
          <w:color w:val="FF0000"/>
          <w:szCs w:val="32"/>
        </w:rPr>
      </w:pPr>
      <w:r w:rsidRPr="00594133">
        <w:rPr>
          <w:rStyle w:val="Char"/>
          <w:rFonts w:ascii="Times New Roman" w:hAnsi="Times New Roman" w:cs="Times New Roman"/>
          <w:sz w:val="22"/>
          <w:szCs w:val="22"/>
        </w:rPr>
        <w:t xml:space="preserve">The study aims at clarifying and evaluating the role of the Bursa </w:t>
      </w:r>
      <w:proofErr w:type="spellStart"/>
      <w:r w:rsidRPr="00594133">
        <w:rPr>
          <w:rStyle w:val="Char"/>
          <w:rFonts w:ascii="Times New Roman" w:hAnsi="Times New Roman" w:cs="Times New Roman"/>
          <w:sz w:val="22"/>
          <w:szCs w:val="22"/>
        </w:rPr>
        <w:t>Suq</w:t>
      </w:r>
      <w:proofErr w:type="spellEnd"/>
      <w:r w:rsidRPr="00594133">
        <w:rPr>
          <w:rStyle w:val="Char"/>
          <w:rFonts w:ascii="Times New Roman" w:hAnsi="Times New Roman" w:cs="Times New Roman"/>
          <w:sz w:val="22"/>
          <w:szCs w:val="22"/>
        </w:rPr>
        <w:t xml:space="preserve"> Al-</w:t>
      </w:r>
      <w:proofErr w:type="spellStart"/>
      <w:r w:rsidRPr="00594133">
        <w:rPr>
          <w:rStyle w:val="Char"/>
          <w:rFonts w:ascii="Times New Roman" w:hAnsi="Times New Roman" w:cs="Times New Roman"/>
          <w:sz w:val="22"/>
          <w:szCs w:val="22"/>
        </w:rPr>
        <w:t>Sila</w:t>
      </w:r>
      <w:proofErr w:type="spellEnd"/>
      <w:r w:rsidRPr="00594133">
        <w:rPr>
          <w:rStyle w:val="Char"/>
          <w:rFonts w:ascii="Times New Roman" w:hAnsi="Times New Roman" w:cs="Times New Roman"/>
          <w:sz w:val="22"/>
          <w:szCs w:val="22"/>
        </w:rPr>
        <w:t>' in reforming financial operations based on</w:t>
      </w:r>
      <w:r w:rsidRPr="00594133">
        <w:rPr>
          <w:rStyle w:val="Char"/>
          <w:rFonts w:ascii="Times New Roman" w:hAnsi="Times New Roman" w:cs="Times New Roman"/>
          <w:sz w:val="22"/>
          <w:szCs w:val="22"/>
          <w:rtl/>
        </w:rPr>
        <w:t xml:space="preserve"> </w:t>
      </w:r>
      <w:r w:rsidRPr="00594133">
        <w:rPr>
          <w:rStyle w:val="Char"/>
          <w:rFonts w:ascii="Times New Roman" w:hAnsi="Times New Roman" w:cs="Times New Roman"/>
          <w:sz w:val="22"/>
          <w:szCs w:val="22"/>
        </w:rPr>
        <w:t xml:space="preserve">organized banking </w:t>
      </w:r>
      <w:proofErr w:type="spellStart"/>
      <w:r w:rsidRPr="00594133">
        <w:rPr>
          <w:rStyle w:val="Char"/>
          <w:rFonts w:ascii="Times New Roman" w:hAnsi="Times New Roman" w:cs="Times New Roman"/>
          <w:sz w:val="22"/>
          <w:szCs w:val="22"/>
        </w:rPr>
        <w:t>tawarruq</w:t>
      </w:r>
      <w:proofErr w:type="spellEnd"/>
      <w:r w:rsidRPr="00594133">
        <w:rPr>
          <w:rStyle w:val="Char"/>
          <w:rFonts w:ascii="Times New Roman" w:hAnsi="Times New Roman" w:cs="Times New Roman"/>
          <w:sz w:val="22"/>
          <w:szCs w:val="22"/>
          <w:lang w:bidi="fa-IR"/>
        </w:rPr>
        <w:t>.</w:t>
      </w:r>
      <w:r w:rsidRPr="00594133">
        <w:rPr>
          <w:rStyle w:val="Char"/>
          <w:rFonts w:ascii="Times New Roman" w:hAnsi="Times New Roman" w:cs="Times New Roman"/>
          <w:sz w:val="22"/>
          <w:szCs w:val="22"/>
          <w:rtl/>
        </w:rPr>
        <w:t xml:space="preserve"> </w:t>
      </w:r>
      <w:r w:rsidRPr="00594133">
        <w:rPr>
          <w:rStyle w:val="Char"/>
          <w:rFonts w:ascii="Times New Roman" w:hAnsi="Times New Roman" w:cs="Times New Roman"/>
          <w:sz w:val="22"/>
          <w:szCs w:val="22"/>
        </w:rPr>
        <w:t xml:space="preserve">This will be through a brief description of individual </w:t>
      </w:r>
      <w:proofErr w:type="spellStart"/>
      <w:r w:rsidRPr="00594133">
        <w:rPr>
          <w:rStyle w:val="Char"/>
          <w:rFonts w:ascii="Times New Roman" w:hAnsi="Times New Roman" w:cs="Times New Roman"/>
          <w:sz w:val="22"/>
          <w:szCs w:val="22"/>
        </w:rPr>
        <w:t>tawarruq</w:t>
      </w:r>
      <w:proofErr w:type="spellEnd"/>
      <w:r w:rsidRPr="00594133">
        <w:rPr>
          <w:rStyle w:val="Char"/>
          <w:rFonts w:ascii="Times New Roman" w:hAnsi="Times New Roman" w:cs="Times New Roman"/>
          <w:sz w:val="22"/>
          <w:szCs w:val="22"/>
        </w:rPr>
        <w:t xml:space="preserve">, the organized banking </w:t>
      </w:r>
      <w:proofErr w:type="spellStart"/>
      <w:r w:rsidRPr="00594133">
        <w:rPr>
          <w:rStyle w:val="Char"/>
          <w:rFonts w:ascii="Times New Roman" w:hAnsi="Times New Roman" w:cs="Times New Roman"/>
          <w:sz w:val="22"/>
          <w:szCs w:val="22"/>
        </w:rPr>
        <w:t>tawarruq</w:t>
      </w:r>
      <w:proofErr w:type="spellEnd"/>
      <w:r w:rsidRPr="00594133">
        <w:rPr>
          <w:rStyle w:val="Char"/>
          <w:rFonts w:ascii="Times New Roman" w:hAnsi="Times New Roman" w:cs="Times New Roman"/>
          <w:sz w:val="22"/>
          <w:szCs w:val="22"/>
        </w:rPr>
        <w:t xml:space="preserve"> and the opinion of the scholars in this regard, along with a brief explanation of Bursa </w:t>
      </w:r>
      <w:proofErr w:type="spellStart"/>
      <w:r w:rsidRPr="00594133">
        <w:rPr>
          <w:rStyle w:val="Char"/>
          <w:rFonts w:ascii="Times New Roman" w:hAnsi="Times New Roman" w:cs="Times New Roman"/>
          <w:sz w:val="22"/>
          <w:szCs w:val="22"/>
        </w:rPr>
        <w:t>Suq</w:t>
      </w:r>
      <w:proofErr w:type="spellEnd"/>
      <w:r w:rsidRPr="00594133">
        <w:rPr>
          <w:rStyle w:val="Char"/>
          <w:rFonts w:ascii="Times New Roman" w:hAnsi="Times New Roman" w:cs="Times New Roman"/>
          <w:sz w:val="22"/>
          <w:szCs w:val="22"/>
        </w:rPr>
        <w:t xml:space="preserve"> Al-</w:t>
      </w:r>
      <w:proofErr w:type="spellStart"/>
      <w:r w:rsidRPr="00594133">
        <w:rPr>
          <w:rStyle w:val="Char"/>
          <w:rFonts w:ascii="Times New Roman" w:hAnsi="Times New Roman" w:cs="Times New Roman"/>
          <w:sz w:val="22"/>
          <w:szCs w:val="22"/>
        </w:rPr>
        <w:t>Sila</w:t>
      </w:r>
      <w:proofErr w:type="spellEnd"/>
      <w:r w:rsidRPr="00594133">
        <w:rPr>
          <w:rStyle w:val="Char"/>
          <w:rFonts w:ascii="Times New Roman" w:hAnsi="Times New Roman" w:cs="Times New Roman"/>
          <w:sz w:val="22"/>
          <w:szCs w:val="22"/>
        </w:rPr>
        <w:t xml:space="preserve">' and the process of </w:t>
      </w:r>
      <w:proofErr w:type="spellStart"/>
      <w:r w:rsidRPr="00594133">
        <w:rPr>
          <w:rStyle w:val="Char"/>
          <w:rFonts w:ascii="Times New Roman" w:hAnsi="Times New Roman" w:cs="Times New Roman"/>
          <w:sz w:val="22"/>
          <w:szCs w:val="22"/>
        </w:rPr>
        <w:t>tawarruq</w:t>
      </w:r>
      <w:proofErr w:type="spellEnd"/>
      <w:r w:rsidRPr="00594133">
        <w:rPr>
          <w:rStyle w:val="Char"/>
          <w:rFonts w:ascii="Times New Roman" w:hAnsi="Times New Roman" w:cs="Times New Roman"/>
          <w:sz w:val="22"/>
          <w:szCs w:val="22"/>
        </w:rPr>
        <w:t xml:space="preserve"> applied therein</w:t>
      </w:r>
      <w:r>
        <w:rPr>
          <w:rFonts w:asciiTheme="majorBidi" w:hAnsiTheme="majorBidi" w:cstheme="majorBidi"/>
          <w:szCs w:val="32"/>
          <w:lang w:val="en"/>
        </w:rPr>
        <w:t>..</w:t>
      </w:r>
      <w:r w:rsidR="004F19FF">
        <w:rPr>
          <w:rFonts w:asciiTheme="majorBidi" w:hAnsiTheme="majorBidi" w:cstheme="majorBidi"/>
          <w:szCs w:val="32"/>
          <w:lang w:val="en"/>
        </w:rPr>
        <w:t xml:space="preserve">. </w:t>
      </w:r>
      <w:r w:rsidR="004F19FF" w:rsidRPr="001F37E2">
        <w:rPr>
          <w:rFonts w:asciiTheme="majorBidi" w:hAnsiTheme="majorBidi" w:cstheme="majorBidi"/>
          <w:color w:val="FF0000"/>
          <w:szCs w:val="32"/>
          <w:lang w:val="en"/>
        </w:rPr>
        <w:t>[Font: Times New Roman, 11</w:t>
      </w:r>
      <w:r w:rsidR="004F19FF">
        <w:rPr>
          <w:rFonts w:asciiTheme="majorBidi" w:hAnsiTheme="majorBidi" w:cstheme="majorBidi"/>
          <w:color w:val="FF0000"/>
          <w:szCs w:val="32"/>
          <w:lang w:val="en"/>
        </w:rPr>
        <w:t xml:space="preserve">, Not more than 300 </w:t>
      </w:r>
      <w:bookmarkStart w:id="0" w:name="_GoBack"/>
      <w:bookmarkEnd w:id="0"/>
      <w:r w:rsidR="004F19FF">
        <w:rPr>
          <w:rFonts w:asciiTheme="majorBidi" w:hAnsiTheme="majorBidi" w:cstheme="majorBidi"/>
          <w:color w:val="FF0000"/>
          <w:szCs w:val="32"/>
          <w:lang w:val="en"/>
        </w:rPr>
        <w:t>words</w:t>
      </w:r>
      <w:r w:rsidR="004F19FF" w:rsidRPr="001F37E2">
        <w:rPr>
          <w:rFonts w:asciiTheme="majorBidi" w:hAnsiTheme="majorBidi" w:cstheme="majorBidi"/>
          <w:color w:val="FF0000"/>
          <w:szCs w:val="32"/>
          <w:lang w:val="en"/>
        </w:rPr>
        <w:t>]</w:t>
      </w:r>
    </w:p>
    <w:p w:rsidR="004F19FF" w:rsidRPr="003536CA" w:rsidRDefault="004F19FF" w:rsidP="004F19FF">
      <w:pPr>
        <w:jc w:val="both"/>
        <w:rPr>
          <w:rFonts w:asciiTheme="majorBidi" w:hAnsiTheme="majorBidi" w:cstheme="majorBidi"/>
          <w:szCs w:val="32"/>
          <w:lang w:val="en"/>
        </w:rPr>
      </w:pPr>
    </w:p>
    <w:p w:rsidR="004F19FF" w:rsidRPr="001F37E2" w:rsidRDefault="004F19FF" w:rsidP="004F19FF">
      <w:pPr>
        <w:jc w:val="both"/>
        <w:rPr>
          <w:rFonts w:asciiTheme="majorBidi" w:hAnsiTheme="majorBidi" w:cstheme="majorBidi"/>
          <w:b/>
          <w:bCs/>
          <w:color w:val="FF0000"/>
          <w:szCs w:val="32"/>
        </w:rPr>
      </w:pPr>
      <w:r w:rsidRPr="007136F4">
        <w:rPr>
          <w:rFonts w:asciiTheme="majorBidi" w:hAnsiTheme="majorBidi" w:cstheme="majorBidi"/>
          <w:b/>
          <w:bCs/>
          <w:i/>
          <w:iCs/>
          <w:szCs w:val="32"/>
          <w:lang w:val="en"/>
        </w:rPr>
        <w:t>Keywords</w:t>
      </w:r>
      <w:r w:rsidRPr="007136F4">
        <w:rPr>
          <w:rFonts w:asciiTheme="majorBidi" w:hAnsiTheme="majorBidi" w:cstheme="majorBidi"/>
          <w:i/>
          <w:iCs/>
          <w:szCs w:val="32"/>
          <w:lang w:val="en"/>
        </w:rPr>
        <w:t xml:space="preserve">: </w:t>
      </w:r>
      <w:proofErr w:type="spellStart"/>
      <w:r w:rsidRPr="007136F4">
        <w:rPr>
          <w:rFonts w:asciiTheme="majorBidi" w:hAnsiTheme="majorBidi" w:cstheme="majorBidi"/>
          <w:i/>
          <w:iCs/>
          <w:szCs w:val="32"/>
          <w:lang w:val="en"/>
        </w:rPr>
        <w:t>Ujrah</w:t>
      </w:r>
      <w:proofErr w:type="spellEnd"/>
      <w:r w:rsidRPr="007136F4">
        <w:rPr>
          <w:rFonts w:asciiTheme="majorBidi" w:hAnsiTheme="majorBidi" w:cstheme="majorBidi"/>
          <w:i/>
          <w:iCs/>
          <w:szCs w:val="32"/>
          <w:lang w:val="en"/>
        </w:rPr>
        <w:t xml:space="preserve">, </w:t>
      </w:r>
      <w:proofErr w:type="spellStart"/>
      <w:r w:rsidRPr="007136F4">
        <w:rPr>
          <w:rFonts w:asciiTheme="majorBidi" w:hAnsiTheme="majorBidi" w:cstheme="majorBidi"/>
          <w:i/>
          <w:iCs/>
          <w:szCs w:val="32"/>
          <w:lang w:val="en"/>
        </w:rPr>
        <w:t>Ijarah</w:t>
      </w:r>
      <w:proofErr w:type="spellEnd"/>
      <w:r w:rsidRPr="007136F4">
        <w:rPr>
          <w:rFonts w:asciiTheme="majorBidi" w:hAnsiTheme="majorBidi" w:cstheme="majorBidi"/>
          <w:i/>
          <w:iCs/>
          <w:szCs w:val="32"/>
          <w:lang w:val="en"/>
        </w:rPr>
        <w:t xml:space="preserve">, </w:t>
      </w:r>
      <w:proofErr w:type="spellStart"/>
      <w:r w:rsidRPr="007136F4">
        <w:rPr>
          <w:rFonts w:asciiTheme="majorBidi" w:hAnsiTheme="majorBidi" w:cstheme="majorBidi"/>
          <w:i/>
          <w:iCs/>
          <w:szCs w:val="32"/>
          <w:lang w:val="en"/>
        </w:rPr>
        <w:t>Ju</w:t>
      </w:r>
      <w:r>
        <w:rPr>
          <w:rFonts w:asciiTheme="majorBidi" w:hAnsiTheme="majorBidi" w:cstheme="majorBidi"/>
          <w:i/>
          <w:iCs/>
          <w:szCs w:val="32"/>
          <w:lang w:val="en"/>
        </w:rPr>
        <w:t>’</w:t>
      </w:r>
      <w:r w:rsidRPr="007136F4">
        <w:rPr>
          <w:rFonts w:asciiTheme="majorBidi" w:hAnsiTheme="majorBidi" w:cstheme="majorBidi"/>
          <w:i/>
          <w:iCs/>
          <w:szCs w:val="32"/>
          <w:lang w:val="en"/>
        </w:rPr>
        <w:t>alah</w:t>
      </w:r>
      <w:proofErr w:type="spellEnd"/>
      <w:r w:rsidRPr="007136F4">
        <w:rPr>
          <w:rFonts w:asciiTheme="majorBidi" w:hAnsiTheme="majorBidi" w:cstheme="majorBidi"/>
          <w:i/>
          <w:iCs/>
          <w:szCs w:val="32"/>
          <w:lang w:val="en"/>
        </w:rPr>
        <w:t xml:space="preserve">, </w:t>
      </w:r>
      <w:proofErr w:type="spellStart"/>
      <w:r>
        <w:rPr>
          <w:rFonts w:asciiTheme="majorBidi" w:hAnsiTheme="majorBidi" w:cstheme="majorBidi"/>
          <w:i/>
          <w:iCs/>
          <w:szCs w:val="32"/>
          <w:lang w:val="en"/>
        </w:rPr>
        <w:t>mazhab</w:t>
      </w:r>
      <w:proofErr w:type="spellEnd"/>
      <w:r w:rsidRPr="003536CA">
        <w:rPr>
          <w:rFonts w:asciiTheme="majorBidi" w:hAnsiTheme="majorBidi" w:cstheme="majorBidi"/>
          <w:szCs w:val="32"/>
          <w:lang w:val="en"/>
        </w:rPr>
        <w:t>.</w:t>
      </w:r>
      <w:r>
        <w:rPr>
          <w:rFonts w:asciiTheme="majorBidi" w:hAnsiTheme="majorBidi" w:cstheme="majorBidi"/>
          <w:szCs w:val="32"/>
          <w:lang w:val="en"/>
        </w:rPr>
        <w:t xml:space="preserve"> </w:t>
      </w:r>
      <w:r w:rsidRPr="001F37E2">
        <w:rPr>
          <w:rFonts w:asciiTheme="majorBidi" w:hAnsiTheme="majorBidi" w:cstheme="majorBidi"/>
          <w:color w:val="FF0000"/>
          <w:szCs w:val="32"/>
          <w:lang w:val="en"/>
        </w:rPr>
        <w:t xml:space="preserve">[Font: Times New Roman, </w:t>
      </w:r>
      <w:r>
        <w:rPr>
          <w:rFonts w:asciiTheme="majorBidi" w:hAnsiTheme="majorBidi" w:cstheme="majorBidi"/>
          <w:color w:val="FF0000"/>
          <w:szCs w:val="32"/>
          <w:lang w:val="en"/>
        </w:rPr>
        <w:t xml:space="preserve">Italic, </w:t>
      </w:r>
      <w:r w:rsidRPr="001F37E2">
        <w:rPr>
          <w:rFonts w:asciiTheme="majorBidi" w:hAnsiTheme="majorBidi" w:cstheme="majorBidi"/>
          <w:color w:val="FF0000"/>
          <w:szCs w:val="32"/>
          <w:lang w:val="en"/>
        </w:rPr>
        <w:t>11]</w:t>
      </w:r>
    </w:p>
    <w:p w:rsidR="004F19FF" w:rsidRPr="001F37E2" w:rsidRDefault="004F19FF" w:rsidP="004F19FF">
      <w:pPr>
        <w:bidi/>
        <w:rPr>
          <w:rFonts w:ascii="Traditional Arabic" w:hAnsi="Traditional Arabic" w:cs="Traditional Arabic"/>
          <w:b/>
          <w:bCs/>
          <w:sz w:val="32"/>
          <w:szCs w:val="32"/>
          <w:rtl/>
        </w:rPr>
      </w:pPr>
      <w:r w:rsidRPr="001F37E2">
        <w:rPr>
          <w:rFonts w:ascii="Traditional Arabic" w:hAnsi="Traditional Arabic" w:cs="Traditional Arabic"/>
          <w:b/>
          <w:bCs/>
          <w:sz w:val="32"/>
          <w:szCs w:val="32"/>
          <w:rtl/>
        </w:rPr>
        <w:t>مقدمة</w:t>
      </w:r>
      <w:r w:rsidRPr="001F37E2">
        <w:rPr>
          <w:rFonts w:asciiTheme="majorBidi" w:hAnsiTheme="majorBidi" w:cstheme="majorBidi" w:hint="cs"/>
          <w:b/>
          <w:bCs/>
          <w:color w:val="FF0000"/>
          <w:szCs w:val="32"/>
          <w:rtl/>
          <w:lang w:val="en"/>
        </w:rPr>
        <w:t xml:space="preserve"> </w:t>
      </w:r>
      <w:r>
        <w:rPr>
          <w:rFonts w:asciiTheme="majorBidi" w:hAnsiTheme="majorBidi" w:cstheme="majorBidi"/>
          <w:b/>
          <w:bCs/>
          <w:color w:val="FF0000"/>
          <w:szCs w:val="32"/>
          <w:lang w:val="en"/>
        </w:rPr>
        <w:t xml:space="preserve">[Font: </w:t>
      </w:r>
      <w:r w:rsidRPr="001F37E2">
        <w:rPr>
          <w:rFonts w:asciiTheme="majorBidi" w:hAnsiTheme="majorBidi" w:cstheme="majorBidi"/>
          <w:b/>
          <w:bCs/>
          <w:color w:val="FF0000"/>
          <w:szCs w:val="32"/>
          <w:lang w:val="en"/>
        </w:rPr>
        <w:t>Traditional Arabic, Bold, 16]</w:t>
      </w:r>
    </w:p>
    <w:p w:rsidR="004F19FF" w:rsidRDefault="004F19FF" w:rsidP="00594133">
      <w:pPr>
        <w:shd w:val="clear" w:color="auto" w:fill="FFFFFF"/>
        <w:tabs>
          <w:tab w:val="right" w:pos="5340"/>
        </w:tabs>
        <w:bidi/>
        <w:spacing w:after="150" w:line="240" w:lineRule="auto"/>
        <w:jc w:val="both"/>
        <w:textAlignment w:val="baseline"/>
        <w:rPr>
          <w:rFonts w:ascii="Traditional Arabic" w:hAnsi="Traditional Arabic" w:cs="Traditional Arabic"/>
          <w:szCs w:val="32"/>
          <w:rtl/>
        </w:rPr>
      </w:pPr>
      <w:r w:rsidRPr="001F37E2">
        <w:rPr>
          <w:rFonts w:asciiTheme="majorBidi" w:hAnsiTheme="majorBidi" w:cstheme="majorBidi"/>
          <w:color w:val="FF0000"/>
          <w:szCs w:val="32"/>
          <w:lang w:val="en"/>
        </w:rPr>
        <w:t>[Font: Traditional Arabic, 16]</w:t>
      </w:r>
      <w:r>
        <w:rPr>
          <w:rFonts w:asciiTheme="majorBidi" w:hAnsiTheme="majorBidi" w:cstheme="majorBidi" w:hint="cs"/>
          <w:color w:val="FF0000"/>
          <w:szCs w:val="32"/>
          <w:rtl/>
          <w:lang w:val="en"/>
        </w:rPr>
        <w:t xml:space="preserve"> </w:t>
      </w:r>
      <w:r w:rsidR="00594133" w:rsidRPr="00D03832">
        <w:rPr>
          <w:rStyle w:val="Char"/>
          <w:szCs w:val="32"/>
          <w:rtl/>
        </w:rPr>
        <w:t xml:space="preserve">إن التورق من المسائل الفقهية التي أخذت حيّزًا كبيرا في الأنشطة التمويلية لكثير من المصارف الإسلامية، وذلك استنادًا على فتاوى بعض العلماء والباحثين الذين اعتبروا التورق المصرفي مخرجًا </w:t>
      </w:r>
      <w:r w:rsidR="00594133" w:rsidRPr="00D03832">
        <w:rPr>
          <w:rStyle w:val="Char"/>
          <w:szCs w:val="32"/>
          <w:rtl/>
        </w:rPr>
        <w:lastRenderedPageBreak/>
        <w:t>شرعيًّا لتجنب الربا لمن</w:t>
      </w:r>
      <w:r w:rsidR="00594133" w:rsidRPr="00D03832">
        <w:rPr>
          <w:rFonts w:ascii="Traditional Arabic" w:hAnsi="Traditional Arabic" w:cs="Traditional Arabic"/>
          <w:szCs w:val="32"/>
          <w:rtl/>
        </w:rPr>
        <w:t xml:space="preserve"> احتاج إلى النقد ولا يجد من يهبه </w:t>
      </w:r>
      <w:r w:rsidR="00594133" w:rsidRPr="00330995">
        <w:rPr>
          <w:rFonts w:ascii="Traditional Arabic" w:hAnsi="Traditional Arabic" w:cs="Traditional Arabic"/>
          <w:szCs w:val="32"/>
          <w:rtl/>
        </w:rPr>
        <w:t>إياه أو يقرضه بدون ربا. (</w:t>
      </w:r>
      <w:proofErr w:type="spellStart"/>
      <w:r w:rsidR="00594133" w:rsidRPr="00594133">
        <w:rPr>
          <w:rFonts w:ascii="Times New Roman" w:hAnsi="Times New Roman" w:cs="Times New Roman"/>
          <w:szCs w:val="32"/>
          <w:lang w:bidi="fa-IR"/>
        </w:rPr>
        <w:t>Nazih</w:t>
      </w:r>
      <w:proofErr w:type="spellEnd"/>
      <w:r w:rsidR="00594133" w:rsidRPr="00594133">
        <w:rPr>
          <w:rFonts w:ascii="Times New Roman" w:hAnsi="Times New Roman" w:cs="Times New Roman"/>
          <w:szCs w:val="32"/>
          <w:lang w:bidi="fa-IR"/>
        </w:rPr>
        <w:t xml:space="preserve"> Hammad,2007; Al-</w:t>
      </w:r>
      <w:proofErr w:type="spellStart"/>
      <w:r w:rsidR="00594133" w:rsidRPr="00594133">
        <w:rPr>
          <w:rFonts w:ascii="Times New Roman" w:hAnsi="Times New Roman" w:cs="Times New Roman"/>
          <w:szCs w:val="32"/>
          <w:lang w:bidi="fa-IR"/>
        </w:rPr>
        <w:t>qari</w:t>
      </w:r>
      <w:proofErr w:type="spellEnd"/>
      <w:r w:rsidR="00594133" w:rsidRPr="00594133">
        <w:rPr>
          <w:rFonts w:ascii="Times New Roman" w:hAnsi="Times New Roman" w:cs="Times New Roman"/>
          <w:szCs w:val="32"/>
          <w:lang w:bidi="fa-IR"/>
        </w:rPr>
        <w:t>, 2003, Al-</w:t>
      </w:r>
      <w:proofErr w:type="spellStart"/>
      <w:r w:rsidR="00594133" w:rsidRPr="00594133">
        <w:rPr>
          <w:rFonts w:ascii="Times New Roman" w:hAnsi="Times New Roman" w:cs="Times New Roman"/>
          <w:szCs w:val="32"/>
          <w:lang w:bidi="fa-IR"/>
        </w:rPr>
        <w:t>manee</w:t>
      </w:r>
      <w:proofErr w:type="spellEnd"/>
      <w:r w:rsidR="00594133" w:rsidRPr="00594133">
        <w:rPr>
          <w:rFonts w:ascii="Times New Roman" w:hAnsi="Times New Roman" w:cs="Times New Roman"/>
          <w:szCs w:val="32"/>
          <w:lang w:bidi="fa-IR"/>
        </w:rPr>
        <w:t>, 2003</w:t>
      </w:r>
      <w:r w:rsidR="00594133" w:rsidRPr="00330995">
        <w:rPr>
          <w:rFonts w:ascii="Traditional Arabic" w:hAnsi="Traditional Arabic" w:cs="Traditional Arabic"/>
          <w:szCs w:val="32"/>
          <w:rtl/>
        </w:rPr>
        <w:t>). ولكن في المقابل -كما سيأتي بيانه-</w:t>
      </w:r>
      <w:r w:rsidR="00594133" w:rsidRPr="00330995">
        <w:rPr>
          <w:rFonts w:ascii="Traditional Arabic" w:hAnsi="Traditional Arabic" w:cs="Traditional Arabic" w:hint="cs"/>
          <w:szCs w:val="32"/>
          <w:rtl/>
        </w:rPr>
        <w:t>،</w:t>
      </w:r>
      <w:r w:rsidR="00594133" w:rsidRPr="00330995">
        <w:rPr>
          <w:rFonts w:ascii="Traditional Arabic" w:hAnsi="Traditional Arabic" w:cs="Traditional Arabic"/>
          <w:szCs w:val="32"/>
          <w:rtl/>
        </w:rPr>
        <w:t xml:space="preserve"> فإن كثيرًا من العلماء والباحثين وكذلك المجامع الفقهية أفتوا بعدم جواز </w:t>
      </w:r>
      <w:r>
        <w:rPr>
          <w:rFonts w:ascii="Traditional Arabic" w:hAnsi="Traditional Arabic" w:cs="Traditional Arabic"/>
          <w:szCs w:val="32"/>
          <w:rtl/>
          <w:lang w:bidi="ar-JO"/>
        </w:rPr>
        <w:t xml:space="preserve">أركان </w:t>
      </w:r>
      <w:r>
        <w:rPr>
          <w:rFonts w:ascii="Traditional Arabic" w:hAnsi="Traditional Arabic" w:cs="Traditional Arabic" w:hint="cs"/>
          <w:szCs w:val="32"/>
          <w:rtl/>
          <w:lang w:bidi="ar-JO"/>
        </w:rPr>
        <w:t xml:space="preserve">هي </w:t>
      </w:r>
      <w:r>
        <w:rPr>
          <w:rFonts w:ascii="Traditional Arabic" w:hAnsi="Traditional Arabic" w:cs="Traditional Arabic"/>
          <w:szCs w:val="32"/>
          <w:rtl/>
          <w:lang w:bidi="ar-JO"/>
        </w:rPr>
        <w:t>كل شيئ جوانبه التي يستند إليها، ويقوم بها (</w:t>
      </w:r>
      <w:r>
        <w:rPr>
          <w:rFonts w:asciiTheme="majorBidi" w:hAnsiTheme="majorBidi" w:cs="Traditional Arabic"/>
          <w:szCs w:val="32"/>
          <w:lang w:bidi="ar-JO"/>
        </w:rPr>
        <w:t>Al-Ansari, 1414H</w:t>
      </w:r>
      <w:r>
        <w:rPr>
          <w:rFonts w:ascii="Traditional Arabic" w:hAnsi="Traditional Arabic" w:cs="Traditional Arabic"/>
          <w:szCs w:val="32"/>
          <w:rtl/>
          <w:lang w:bidi="ar-JO"/>
        </w:rPr>
        <w:t>). وهذا المعنى، إذا لا يحتوي احدى من الأركان، فعقد الأجرة باطلة. وأركنها كأركان البيع التي وفقا عند رأي الشافعية والحنابلة.</w:t>
      </w:r>
      <w:r w:rsidR="00594133">
        <w:rPr>
          <w:rFonts w:ascii="Traditional Arabic" w:hAnsi="Traditional Arabic" w:cs="Traditional Arabic" w:hint="cs"/>
          <w:szCs w:val="32"/>
          <w:rtl/>
          <w:lang w:bidi="ar-JO"/>
        </w:rPr>
        <w:t>..</w:t>
      </w:r>
    </w:p>
    <w:p w:rsidR="00594133" w:rsidRPr="00594133" w:rsidRDefault="00594133" w:rsidP="00594133">
      <w:pPr>
        <w:bidi/>
        <w:rPr>
          <w:rFonts w:ascii="Traditional Arabic" w:hAnsi="Traditional Arabic" w:cs="Traditional Arabic"/>
          <w:b/>
          <w:bCs/>
          <w:sz w:val="32"/>
          <w:szCs w:val="32"/>
          <w:rtl/>
        </w:rPr>
      </w:pPr>
      <w:bookmarkStart w:id="1" w:name="_Toc511224811"/>
      <w:r>
        <w:rPr>
          <w:rFonts w:asciiTheme="majorBidi" w:hAnsiTheme="majorBidi" w:cstheme="majorBidi"/>
          <w:b/>
          <w:bCs/>
          <w:color w:val="FF0000"/>
          <w:szCs w:val="32"/>
          <w:lang w:val="en"/>
        </w:rPr>
        <w:t xml:space="preserve">[Font: </w:t>
      </w:r>
      <w:r w:rsidRPr="001F37E2">
        <w:rPr>
          <w:rFonts w:asciiTheme="majorBidi" w:hAnsiTheme="majorBidi" w:cstheme="majorBidi"/>
          <w:b/>
          <w:bCs/>
          <w:color w:val="FF0000"/>
          <w:szCs w:val="32"/>
          <w:lang w:val="en"/>
        </w:rPr>
        <w:t>Traditional Arabic, Bold, 16]</w:t>
      </w:r>
      <w:r>
        <w:rPr>
          <w:rFonts w:asciiTheme="majorBidi" w:hAnsiTheme="majorBidi" w:cstheme="majorBidi" w:hint="cs"/>
          <w:b/>
          <w:bCs/>
          <w:color w:val="FF0000"/>
          <w:szCs w:val="32"/>
          <w:rtl/>
          <w:lang w:val="en"/>
        </w:rPr>
        <w:t xml:space="preserve"> </w:t>
      </w:r>
      <w:r w:rsidRPr="00594133">
        <w:rPr>
          <w:rFonts w:ascii="Traditional Arabic" w:hAnsi="Traditional Arabic" w:cs="Traditional Arabic"/>
          <w:b/>
          <w:bCs/>
          <w:sz w:val="32"/>
          <w:szCs w:val="32"/>
          <w:rtl/>
        </w:rPr>
        <w:t>التورق الفقهي وموقف العلماء منه</w:t>
      </w:r>
      <w:bookmarkEnd w:id="1"/>
    </w:p>
    <w:p w:rsidR="00594133" w:rsidRPr="00594133" w:rsidRDefault="00594133" w:rsidP="00594133">
      <w:pPr>
        <w:pStyle w:val="a"/>
        <w:ind w:firstLine="0"/>
        <w:rPr>
          <w:rFonts w:ascii="Times New Roman" w:hAnsi="Times New Roman"/>
          <w:sz w:val="22"/>
          <w:szCs w:val="32"/>
          <w:rtl/>
        </w:rPr>
      </w:pPr>
      <w:r w:rsidRPr="00594133">
        <w:rPr>
          <w:rFonts w:ascii="Times New Roman" w:hAnsi="Times New Roman"/>
          <w:b/>
          <w:bCs/>
          <w:sz w:val="22"/>
          <w:szCs w:val="32"/>
          <w:rtl/>
        </w:rPr>
        <w:t>أولاً- مفهوم التورق:</w:t>
      </w:r>
      <w:r w:rsidRPr="00594133">
        <w:rPr>
          <w:rFonts w:ascii="Times New Roman" w:hAnsi="Times New Roman"/>
          <w:sz w:val="22"/>
          <w:szCs w:val="32"/>
          <w:rtl/>
        </w:rPr>
        <w:t xml:space="preserve"> أن يشتري شخص سلعة نسيئة، ثم يبيعها نقدًا لغير البائع، بأقل مما اشتراها به، ليحصل بذلك على النقد. (</w:t>
      </w:r>
      <w:r w:rsidRPr="00594133">
        <w:rPr>
          <w:rFonts w:ascii="Times New Roman" w:hAnsi="Times New Roman"/>
          <w:sz w:val="22"/>
          <w:szCs w:val="32"/>
        </w:rPr>
        <w:t>Al-</w:t>
      </w:r>
      <w:proofErr w:type="spellStart"/>
      <w:r w:rsidRPr="00594133">
        <w:rPr>
          <w:rFonts w:ascii="Times New Roman" w:hAnsi="Times New Roman"/>
          <w:sz w:val="22"/>
          <w:szCs w:val="32"/>
        </w:rPr>
        <w:t>Mausu'ah</w:t>
      </w:r>
      <w:proofErr w:type="spellEnd"/>
      <w:r w:rsidRPr="00594133">
        <w:rPr>
          <w:rFonts w:ascii="Times New Roman" w:hAnsi="Times New Roman"/>
          <w:sz w:val="22"/>
          <w:szCs w:val="32"/>
        </w:rPr>
        <w:t xml:space="preserve"> Al-</w:t>
      </w:r>
      <w:proofErr w:type="spellStart"/>
      <w:r w:rsidRPr="00594133">
        <w:rPr>
          <w:rFonts w:ascii="Times New Roman" w:hAnsi="Times New Roman"/>
          <w:sz w:val="22"/>
          <w:szCs w:val="32"/>
        </w:rPr>
        <w:t>Fiqhiyah</w:t>
      </w:r>
      <w:proofErr w:type="spellEnd"/>
      <w:r w:rsidRPr="00594133">
        <w:rPr>
          <w:rFonts w:ascii="Times New Roman" w:hAnsi="Times New Roman"/>
          <w:sz w:val="22"/>
          <w:szCs w:val="32"/>
        </w:rPr>
        <w:t xml:space="preserve"> Al-</w:t>
      </w:r>
      <w:proofErr w:type="spellStart"/>
      <w:r w:rsidRPr="00594133">
        <w:rPr>
          <w:rFonts w:ascii="Times New Roman" w:hAnsi="Times New Roman"/>
          <w:sz w:val="22"/>
          <w:szCs w:val="32"/>
        </w:rPr>
        <w:t>Kuwaitiyah</w:t>
      </w:r>
      <w:proofErr w:type="spellEnd"/>
      <w:r w:rsidRPr="00594133">
        <w:rPr>
          <w:rFonts w:ascii="Times New Roman" w:hAnsi="Times New Roman"/>
          <w:sz w:val="22"/>
          <w:szCs w:val="32"/>
        </w:rPr>
        <w:t>, 2006</w:t>
      </w:r>
      <w:r w:rsidRPr="00594133">
        <w:rPr>
          <w:rFonts w:ascii="Times New Roman" w:hAnsi="Times New Roman"/>
          <w:sz w:val="22"/>
          <w:szCs w:val="32"/>
          <w:rtl/>
        </w:rPr>
        <w:t>)</w:t>
      </w:r>
      <w:r w:rsidRPr="00594133">
        <w:rPr>
          <w:rFonts w:ascii="Times New Roman" w:hAnsi="Times New Roman"/>
          <w:sz w:val="22"/>
          <w:szCs w:val="32"/>
        </w:rPr>
        <w:t>.</w:t>
      </w:r>
    </w:p>
    <w:p w:rsidR="00594133" w:rsidRPr="00594133" w:rsidRDefault="00594133" w:rsidP="00594133">
      <w:pPr>
        <w:pStyle w:val="a"/>
        <w:widowControl w:val="0"/>
        <w:ind w:firstLine="0"/>
        <w:rPr>
          <w:rFonts w:ascii="Times New Roman" w:hAnsi="Times New Roman"/>
          <w:sz w:val="22"/>
          <w:szCs w:val="32"/>
          <w:rtl/>
        </w:rPr>
      </w:pPr>
      <w:r w:rsidRPr="00594133">
        <w:rPr>
          <w:rFonts w:ascii="Times New Roman" w:hAnsi="Times New Roman" w:cs="Times New Roman"/>
          <w:color w:val="FF0000"/>
          <w:sz w:val="22"/>
          <w:szCs w:val="22"/>
          <w:lang w:val="en"/>
        </w:rPr>
        <w:t>[Font: Traditional Arabic, 16]</w:t>
      </w:r>
      <w:r>
        <w:rPr>
          <w:rFonts w:ascii="Times New Roman" w:hAnsi="Times New Roman" w:cs="Times New Roman" w:hint="cs"/>
          <w:color w:val="FF0000"/>
          <w:sz w:val="22"/>
          <w:szCs w:val="22"/>
          <w:rtl/>
          <w:lang w:val="en"/>
        </w:rPr>
        <w:t xml:space="preserve"> </w:t>
      </w:r>
      <w:r w:rsidRPr="00594133">
        <w:rPr>
          <w:rFonts w:ascii="Times New Roman" w:hAnsi="Times New Roman"/>
          <w:sz w:val="22"/>
          <w:szCs w:val="32"/>
          <w:rtl/>
        </w:rPr>
        <w:t>ومصطلح التورق قد شاع استعماله عند الحنابلة، وذكره بعض فقهائهم، كابن تيمية وابن القيم والمرداوي وابن مفلح والبهوتي في مؤلفاتهم، وأما المذاهب الفقهية الأخرى، فلم يذكروا التورق بهذا الاسم، وإن كانت صورته موجودة عندهم باسم العينة كما عند الحنفية أو بيوع الآجال كما عند المالكية.</w:t>
      </w:r>
      <w:r w:rsidRPr="00594133">
        <w:rPr>
          <w:rFonts w:ascii="Times New Roman" w:hAnsi="Times New Roman"/>
          <w:sz w:val="22"/>
          <w:szCs w:val="32"/>
        </w:rPr>
        <w:t xml:space="preserve"> </w:t>
      </w:r>
      <w:r w:rsidRPr="00594133">
        <w:rPr>
          <w:rFonts w:ascii="Times New Roman" w:hAnsi="Times New Roman"/>
          <w:sz w:val="22"/>
          <w:szCs w:val="32"/>
          <w:rtl/>
        </w:rPr>
        <w:t>(</w:t>
      </w:r>
      <w:r w:rsidRPr="00594133">
        <w:rPr>
          <w:rFonts w:ascii="Times New Roman" w:hAnsi="Times New Roman"/>
          <w:sz w:val="22"/>
          <w:szCs w:val="32"/>
        </w:rPr>
        <w:t xml:space="preserve">Ibn </w:t>
      </w:r>
      <w:proofErr w:type="spellStart"/>
      <w:r w:rsidRPr="00594133">
        <w:rPr>
          <w:rFonts w:ascii="Times New Roman" w:hAnsi="Times New Roman"/>
          <w:sz w:val="22"/>
          <w:szCs w:val="32"/>
        </w:rPr>
        <w:t>Taymiyyah</w:t>
      </w:r>
      <w:proofErr w:type="spellEnd"/>
      <w:r w:rsidRPr="00594133">
        <w:rPr>
          <w:rFonts w:ascii="Times New Roman" w:hAnsi="Times New Roman"/>
          <w:sz w:val="22"/>
          <w:szCs w:val="32"/>
        </w:rPr>
        <w:t>, 1995, Ibn Al-</w:t>
      </w:r>
      <w:proofErr w:type="spellStart"/>
      <w:r w:rsidRPr="00594133">
        <w:rPr>
          <w:rFonts w:ascii="Times New Roman" w:hAnsi="Times New Roman"/>
          <w:sz w:val="22"/>
          <w:szCs w:val="32"/>
        </w:rPr>
        <w:t>Qayyem</w:t>
      </w:r>
      <w:proofErr w:type="spellEnd"/>
      <w:r w:rsidRPr="00594133">
        <w:rPr>
          <w:rFonts w:ascii="Times New Roman" w:hAnsi="Times New Roman"/>
          <w:sz w:val="22"/>
          <w:szCs w:val="32"/>
        </w:rPr>
        <w:t>, 2002, Al-</w:t>
      </w:r>
      <w:proofErr w:type="spellStart"/>
      <w:r w:rsidRPr="00594133">
        <w:rPr>
          <w:rFonts w:ascii="Times New Roman" w:hAnsi="Times New Roman"/>
          <w:sz w:val="22"/>
          <w:szCs w:val="32"/>
        </w:rPr>
        <w:t>Murdawi</w:t>
      </w:r>
      <w:proofErr w:type="spellEnd"/>
      <w:r w:rsidRPr="00594133">
        <w:rPr>
          <w:rFonts w:ascii="Times New Roman" w:hAnsi="Times New Roman"/>
          <w:sz w:val="22"/>
          <w:szCs w:val="32"/>
        </w:rPr>
        <w:t xml:space="preserve">, </w:t>
      </w:r>
      <w:proofErr w:type="spellStart"/>
      <w:r w:rsidRPr="00594133">
        <w:rPr>
          <w:rFonts w:ascii="Times New Roman" w:hAnsi="Times New Roman"/>
          <w:sz w:val="22"/>
          <w:szCs w:val="32"/>
        </w:rPr>
        <w:t>n.d</w:t>
      </w:r>
      <w:proofErr w:type="spellEnd"/>
      <w:r w:rsidRPr="00594133">
        <w:rPr>
          <w:rFonts w:ascii="Times New Roman" w:hAnsi="Times New Roman"/>
          <w:sz w:val="22"/>
          <w:szCs w:val="32"/>
        </w:rPr>
        <w:t xml:space="preserve">, Ibn </w:t>
      </w:r>
      <w:proofErr w:type="spellStart"/>
      <w:r w:rsidRPr="00594133">
        <w:rPr>
          <w:rFonts w:ascii="Times New Roman" w:hAnsi="Times New Roman"/>
          <w:sz w:val="22"/>
          <w:szCs w:val="32"/>
        </w:rPr>
        <w:t>Muflih</w:t>
      </w:r>
      <w:proofErr w:type="spellEnd"/>
      <w:r w:rsidRPr="00594133">
        <w:rPr>
          <w:rFonts w:ascii="Times New Roman" w:hAnsi="Times New Roman"/>
          <w:sz w:val="22"/>
          <w:szCs w:val="32"/>
        </w:rPr>
        <w:t>, 1997, Al-</w:t>
      </w:r>
      <w:proofErr w:type="spellStart"/>
      <w:r w:rsidRPr="00594133">
        <w:rPr>
          <w:rFonts w:ascii="Times New Roman" w:hAnsi="Times New Roman"/>
          <w:sz w:val="22"/>
          <w:szCs w:val="32"/>
        </w:rPr>
        <w:t>bahūtī</w:t>
      </w:r>
      <w:proofErr w:type="spellEnd"/>
      <w:r w:rsidRPr="00594133">
        <w:rPr>
          <w:rFonts w:ascii="Times New Roman" w:hAnsi="Times New Roman"/>
          <w:sz w:val="22"/>
          <w:szCs w:val="32"/>
        </w:rPr>
        <w:t xml:space="preserve"> , </w:t>
      </w:r>
      <w:proofErr w:type="spellStart"/>
      <w:r w:rsidRPr="00594133">
        <w:rPr>
          <w:rFonts w:ascii="Times New Roman" w:hAnsi="Times New Roman"/>
          <w:sz w:val="22"/>
          <w:szCs w:val="32"/>
        </w:rPr>
        <w:t>n.d</w:t>
      </w:r>
      <w:proofErr w:type="spellEnd"/>
      <w:r w:rsidRPr="00594133">
        <w:rPr>
          <w:rFonts w:ascii="Times New Roman" w:hAnsi="Times New Roman"/>
          <w:sz w:val="22"/>
          <w:szCs w:val="32"/>
        </w:rPr>
        <w:t>, Al-</w:t>
      </w:r>
      <w:proofErr w:type="spellStart"/>
      <w:r w:rsidRPr="00594133">
        <w:rPr>
          <w:rFonts w:ascii="Times New Roman" w:hAnsi="Times New Roman"/>
          <w:sz w:val="22"/>
          <w:szCs w:val="32"/>
        </w:rPr>
        <w:t>Sarakhsi</w:t>
      </w:r>
      <w:proofErr w:type="spellEnd"/>
      <w:r w:rsidRPr="00594133">
        <w:rPr>
          <w:rFonts w:ascii="Times New Roman" w:hAnsi="Times New Roman"/>
          <w:sz w:val="22"/>
          <w:szCs w:val="32"/>
        </w:rPr>
        <w:t xml:space="preserve">, 1993, </w:t>
      </w:r>
      <w:proofErr w:type="spellStart"/>
      <w:r w:rsidRPr="00594133">
        <w:rPr>
          <w:rFonts w:ascii="Times New Roman" w:hAnsi="Times New Roman"/>
          <w:sz w:val="22"/>
          <w:szCs w:val="32"/>
        </w:rPr>
        <w:t>Ib-Rushd</w:t>
      </w:r>
      <w:proofErr w:type="spellEnd"/>
      <w:r w:rsidRPr="00594133">
        <w:rPr>
          <w:rFonts w:ascii="Times New Roman" w:hAnsi="Times New Roman"/>
          <w:sz w:val="22"/>
          <w:szCs w:val="32"/>
        </w:rPr>
        <w:t>, 1988, Al-</w:t>
      </w:r>
      <w:proofErr w:type="spellStart"/>
      <w:r w:rsidRPr="00594133">
        <w:rPr>
          <w:rFonts w:ascii="Times New Roman" w:hAnsi="Times New Roman"/>
          <w:sz w:val="22"/>
          <w:szCs w:val="32"/>
        </w:rPr>
        <w:t>Dumairi</w:t>
      </w:r>
      <w:proofErr w:type="spellEnd"/>
      <w:r w:rsidRPr="00594133">
        <w:rPr>
          <w:rFonts w:ascii="Times New Roman" w:hAnsi="Times New Roman"/>
          <w:sz w:val="22"/>
          <w:szCs w:val="32"/>
        </w:rPr>
        <w:t xml:space="preserve">, 2008.   </w:t>
      </w:r>
      <w:r w:rsidRPr="00594133">
        <w:rPr>
          <w:rFonts w:ascii="Times New Roman" w:hAnsi="Times New Roman"/>
          <w:sz w:val="22"/>
          <w:szCs w:val="32"/>
          <w:rtl/>
        </w:rPr>
        <w:t>)</w:t>
      </w:r>
    </w:p>
    <w:p w:rsidR="00594133" w:rsidRDefault="00594133" w:rsidP="004F19FF">
      <w:pPr>
        <w:pStyle w:val="NoSpacing"/>
        <w:rPr>
          <w:rFonts w:asciiTheme="majorBidi" w:hAnsiTheme="majorBidi" w:cs="Traditional Arabic"/>
          <w:b/>
          <w:bCs/>
          <w:sz w:val="22"/>
          <w:szCs w:val="22"/>
          <w:rtl/>
          <w:lang w:bidi="ar-JO"/>
        </w:rPr>
      </w:pPr>
    </w:p>
    <w:p w:rsidR="00594133" w:rsidRDefault="00594133" w:rsidP="004F19FF">
      <w:pPr>
        <w:pStyle w:val="NoSpacing"/>
        <w:rPr>
          <w:rFonts w:asciiTheme="majorBidi" w:hAnsiTheme="majorBidi" w:cs="Traditional Arabic"/>
          <w:b/>
          <w:bCs/>
          <w:sz w:val="22"/>
          <w:szCs w:val="22"/>
          <w:lang w:bidi="ar-JO"/>
        </w:rPr>
      </w:pPr>
    </w:p>
    <w:p w:rsidR="004F19FF" w:rsidRPr="007939D5" w:rsidRDefault="004F19FF" w:rsidP="004F19FF">
      <w:pPr>
        <w:pStyle w:val="NoSpacing"/>
        <w:rPr>
          <w:rFonts w:asciiTheme="majorBidi" w:hAnsiTheme="majorBidi" w:cs="Traditional Arabic"/>
          <w:bCs/>
          <w:sz w:val="22"/>
          <w:szCs w:val="22"/>
        </w:rPr>
      </w:pPr>
      <w:r w:rsidRPr="007939D5">
        <w:rPr>
          <w:rFonts w:asciiTheme="majorBidi" w:hAnsiTheme="majorBidi" w:cs="Traditional Arabic"/>
          <w:b/>
          <w:bCs/>
          <w:sz w:val="22"/>
          <w:szCs w:val="22"/>
          <w:lang w:bidi="ar-JO"/>
        </w:rPr>
        <w:t xml:space="preserve">REFERENCES: </w:t>
      </w:r>
      <w:r w:rsidRPr="007939D5">
        <w:rPr>
          <w:rFonts w:asciiTheme="majorBidi" w:hAnsiTheme="majorBidi" w:cs="Traditional Arabic"/>
          <w:bCs/>
          <w:color w:val="FF0000"/>
          <w:sz w:val="22"/>
          <w:szCs w:val="22"/>
        </w:rPr>
        <w:t xml:space="preserve">[Font: Times New Roman, </w:t>
      </w:r>
      <w:r>
        <w:rPr>
          <w:rFonts w:asciiTheme="majorBidi" w:hAnsiTheme="majorBidi" w:cs="Traditional Arabic"/>
          <w:bCs/>
          <w:color w:val="FF0000"/>
          <w:sz w:val="22"/>
          <w:szCs w:val="22"/>
        </w:rPr>
        <w:t>Bold, 11</w:t>
      </w:r>
      <w:r w:rsidRPr="007939D5">
        <w:rPr>
          <w:rFonts w:asciiTheme="majorBidi" w:hAnsiTheme="majorBidi" w:cs="Traditional Arabic"/>
          <w:bCs/>
          <w:color w:val="FF0000"/>
          <w:sz w:val="22"/>
          <w:szCs w:val="22"/>
        </w:rPr>
        <w:t>]</w:t>
      </w:r>
    </w:p>
    <w:p w:rsidR="004F19FF" w:rsidRDefault="004F19FF" w:rsidP="004F19FF">
      <w:pPr>
        <w:spacing w:line="240" w:lineRule="auto"/>
        <w:rPr>
          <w:rFonts w:asciiTheme="majorBidi" w:hAnsiTheme="majorBidi" w:cs="Traditional Arabic"/>
          <w:b/>
          <w:bCs/>
          <w:szCs w:val="32"/>
          <w:lang w:val="en-US" w:bidi="ar-JO"/>
        </w:rPr>
      </w:pPr>
    </w:p>
    <w:p w:rsidR="004F19FF" w:rsidRPr="007939D5" w:rsidRDefault="004F19FF" w:rsidP="004F19FF">
      <w:pPr>
        <w:spacing w:line="240" w:lineRule="auto"/>
        <w:rPr>
          <w:rFonts w:asciiTheme="majorBidi" w:hAnsiTheme="majorBidi" w:cstheme="majorBidi"/>
          <w:b/>
          <w:color w:val="FF0000"/>
        </w:rPr>
      </w:pPr>
      <w:bookmarkStart w:id="2" w:name="_Hlk8369997"/>
      <w:r w:rsidRPr="007939D5">
        <w:rPr>
          <w:rFonts w:asciiTheme="majorBidi" w:hAnsiTheme="majorBidi" w:cstheme="majorBidi"/>
          <w:bCs/>
          <w:color w:val="FF0000"/>
        </w:rPr>
        <w:t xml:space="preserve">[Font: Times New Roman, 11] </w:t>
      </w:r>
      <w:r w:rsidRPr="007939D5">
        <w:rPr>
          <w:rFonts w:asciiTheme="majorBidi" w:hAnsiTheme="majorBidi" w:cstheme="majorBidi"/>
          <w:b/>
          <w:color w:val="FF0000"/>
        </w:rPr>
        <w:t>(APA Sixth Edition, Single Spacing)</w:t>
      </w:r>
    </w:p>
    <w:bookmarkEnd w:id="2"/>
    <w:p w:rsidR="004F19FF" w:rsidRPr="00537FD1" w:rsidRDefault="004F19FF" w:rsidP="00FC1BAF">
      <w:pPr>
        <w:pStyle w:val="NoSpacing"/>
        <w:ind w:left="720" w:hanging="720"/>
        <w:jc w:val="both"/>
        <w:rPr>
          <w:rFonts w:asciiTheme="majorBidi" w:hAnsiTheme="majorBidi" w:cs="Traditional Arabic"/>
          <w:sz w:val="22"/>
          <w:szCs w:val="22"/>
        </w:rPr>
      </w:pPr>
      <w:proofErr w:type="spellStart"/>
      <w:r w:rsidRPr="00537FD1">
        <w:rPr>
          <w:rFonts w:asciiTheme="majorBidi" w:hAnsiTheme="majorBidi" w:cs="Traditional Arabic"/>
          <w:sz w:val="22"/>
          <w:szCs w:val="22"/>
        </w:rPr>
        <w:t>Aisyatul</w:t>
      </w:r>
      <w:proofErr w:type="spellEnd"/>
      <w:r w:rsidRPr="00537FD1">
        <w:rPr>
          <w:rFonts w:asciiTheme="majorBidi" w:hAnsiTheme="majorBidi" w:cs="Traditional Arabic"/>
          <w:sz w:val="22"/>
          <w:szCs w:val="22"/>
        </w:rPr>
        <w:t xml:space="preserve"> Amirah </w:t>
      </w:r>
      <w:proofErr w:type="spellStart"/>
      <w:r w:rsidRPr="00537FD1">
        <w:rPr>
          <w:rFonts w:asciiTheme="majorBidi" w:hAnsiTheme="majorBidi" w:cs="Traditional Arabic"/>
          <w:sz w:val="22"/>
          <w:szCs w:val="22"/>
        </w:rPr>
        <w:t>binti</w:t>
      </w:r>
      <w:proofErr w:type="spellEnd"/>
      <w:r w:rsidRPr="00537FD1">
        <w:rPr>
          <w:rFonts w:asciiTheme="majorBidi" w:hAnsiTheme="majorBidi" w:cs="Traditional Arabic"/>
          <w:sz w:val="22"/>
          <w:szCs w:val="22"/>
        </w:rPr>
        <w:t xml:space="preserve"> </w:t>
      </w:r>
      <w:proofErr w:type="spellStart"/>
      <w:r w:rsidRPr="00537FD1">
        <w:rPr>
          <w:rFonts w:asciiTheme="majorBidi" w:hAnsiTheme="majorBidi" w:cs="Traditional Arabic"/>
          <w:sz w:val="22"/>
          <w:szCs w:val="22"/>
        </w:rPr>
        <w:t>Ayub</w:t>
      </w:r>
      <w:proofErr w:type="spellEnd"/>
      <w:r w:rsidRPr="00537FD1">
        <w:rPr>
          <w:rFonts w:asciiTheme="majorBidi" w:hAnsiTheme="majorBidi" w:cs="Traditional Arabic"/>
          <w:sz w:val="22"/>
          <w:szCs w:val="22"/>
        </w:rPr>
        <w:t xml:space="preserve">. (2015). </w:t>
      </w:r>
      <w:r w:rsidRPr="00537FD1">
        <w:rPr>
          <w:rFonts w:asciiTheme="majorBidi" w:hAnsiTheme="majorBidi" w:cs="Traditional Arabic"/>
          <w:i/>
          <w:iCs/>
          <w:sz w:val="22"/>
          <w:szCs w:val="22"/>
        </w:rPr>
        <w:t>Talab al-</w:t>
      </w:r>
      <w:proofErr w:type="spellStart"/>
      <w:r w:rsidRPr="00537FD1">
        <w:rPr>
          <w:rFonts w:asciiTheme="majorBidi" w:hAnsiTheme="majorBidi" w:cs="Traditional Arabic"/>
          <w:i/>
          <w:iCs/>
          <w:sz w:val="22"/>
          <w:szCs w:val="22"/>
        </w:rPr>
        <w:t>Ujrah</w:t>
      </w:r>
      <w:proofErr w:type="spellEnd"/>
      <w:r w:rsidRPr="00537FD1">
        <w:rPr>
          <w:rFonts w:asciiTheme="majorBidi" w:hAnsiTheme="majorBidi" w:cs="Traditional Arabic"/>
          <w:i/>
          <w:iCs/>
          <w:sz w:val="22"/>
          <w:szCs w:val="22"/>
        </w:rPr>
        <w:t xml:space="preserve"> Li al-</w:t>
      </w:r>
      <w:proofErr w:type="spellStart"/>
      <w:r w:rsidRPr="00537FD1">
        <w:rPr>
          <w:rFonts w:asciiTheme="majorBidi" w:hAnsiTheme="majorBidi" w:cs="Traditional Arabic"/>
          <w:i/>
          <w:iCs/>
          <w:sz w:val="22"/>
          <w:szCs w:val="22"/>
        </w:rPr>
        <w:t>A’mal</w:t>
      </w:r>
      <w:proofErr w:type="spellEnd"/>
      <w:r w:rsidRPr="00537FD1">
        <w:rPr>
          <w:rFonts w:asciiTheme="majorBidi" w:hAnsiTheme="majorBidi" w:cs="Traditional Arabic"/>
          <w:i/>
          <w:iCs/>
          <w:sz w:val="22"/>
          <w:szCs w:val="22"/>
        </w:rPr>
        <w:t xml:space="preserve"> al-</w:t>
      </w:r>
      <w:proofErr w:type="spellStart"/>
      <w:r w:rsidRPr="00537FD1">
        <w:rPr>
          <w:rFonts w:asciiTheme="majorBidi" w:hAnsiTheme="majorBidi" w:cs="Traditional Arabic"/>
          <w:i/>
          <w:iCs/>
          <w:sz w:val="22"/>
          <w:szCs w:val="22"/>
        </w:rPr>
        <w:t>Diniiyah</w:t>
      </w:r>
      <w:proofErr w:type="spellEnd"/>
      <w:r w:rsidRPr="00537FD1">
        <w:rPr>
          <w:rFonts w:asciiTheme="majorBidi" w:hAnsiTheme="majorBidi" w:cs="Traditional Arabic"/>
          <w:sz w:val="22"/>
          <w:szCs w:val="22"/>
        </w:rPr>
        <w:t>. Nilai. Universiti Sains Islam Malaysia.</w:t>
      </w:r>
    </w:p>
    <w:p w:rsidR="004F19FF" w:rsidRPr="00537FD1" w:rsidRDefault="004F19FF" w:rsidP="00FC1BAF">
      <w:pPr>
        <w:spacing w:line="240" w:lineRule="auto"/>
        <w:ind w:left="720" w:hanging="720"/>
        <w:jc w:val="both"/>
        <w:rPr>
          <w:rFonts w:asciiTheme="majorBidi" w:hAnsiTheme="majorBidi" w:cs="Traditional Arabic"/>
        </w:rPr>
      </w:pPr>
      <w:r w:rsidRPr="00537FD1">
        <w:rPr>
          <w:rFonts w:asciiTheme="majorBidi" w:hAnsiTheme="majorBidi" w:cs="Traditional Arabic"/>
        </w:rPr>
        <w:t xml:space="preserve">Al-Ansari, Jamal al-Din Muhammad ibn </w:t>
      </w:r>
      <w:proofErr w:type="spellStart"/>
      <w:r w:rsidRPr="00537FD1">
        <w:rPr>
          <w:rFonts w:asciiTheme="majorBidi" w:hAnsiTheme="majorBidi" w:cs="Traditional Arabic"/>
        </w:rPr>
        <w:t>Mukram</w:t>
      </w:r>
      <w:proofErr w:type="spellEnd"/>
      <w:r w:rsidRPr="00537FD1">
        <w:rPr>
          <w:rFonts w:asciiTheme="majorBidi" w:hAnsiTheme="majorBidi" w:cs="Traditional Arabic"/>
        </w:rPr>
        <w:t xml:space="preserve">. (1414H). </w:t>
      </w:r>
      <w:proofErr w:type="spellStart"/>
      <w:r w:rsidRPr="00537FD1">
        <w:rPr>
          <w:rFonts w:asciiTheme="majorBidi" w:hAnsiTheme="majorBidi" w:cs="Traditional Arabic"/>
          <w:i/>
          <w:iCs/>
        </w:rPr>
        <w:t>Lisan</w:t>
      </w:r>
      <w:proofErr w:type="spellEnd"/>
      <w:r w:rsidRPr="00537FD1">
        <w:rPr>
          <w:rFonts w:asciiTheme="majorBidi" w:hAnsiTheme="majorBidi" w:cs="Traditional Arabic"/>
          <w:i/>
          <w:iCs/>
        </w:rPr>
        <w:t xml:space="preserve"> al-Arab</w:t>
      </w:r>
      <w:r w:rsidRPr="00537FD1">
        <w:rPr>
          <w:rFonts w:asciiTheme="majorBidi" w:hAnsiTheme="majorBidi" w:cs="Traditional Arabic"/>
        </w:rPr>
        <w:t>. Beirut: Dar al-</w:t>
      </w:r>
      <w:proofErr w:type="spellStart"/>
      <w:r w:rsidRPr="00537FD1">
        <w:rPr>
          <w:rFonts w:asciiTheme="majorBidi" w:hAnsiTheme="majorBidi" w:cs="Traditional Arabic"/>
        </w:rPr>
        <w:t>Sadir</w:t>
      </w:r>
      <w:proofErr w:type="spellEnd"/>
    </w:p>
    <w:p w:rsidR="004F19FF" w:rsidRPr="00537FD1" w:rsidRDefault="004F19FF" w:rsidP="00FC1BAF">
      <w:pPr>
        <w:spacing w:line="240" w:lineRule="auto"/>
        <w:ind w:left="720" w:hanging="720"/>
        <w:jc w:val="both"/>
        <w:rPr>
          <w:rFonts w:asciiTheme="majorBidi" w:hAnsiTheme="majorBidi" w:cs="Traditional Arabic"/>
        </w:rPr>
      </w:pPr>
      <w:r w:rsidRPr="00537FD1">
        <w:rPr>
          <w:rFonts w:asciiTheme="majorBidi" w:hAnsiTheme="majorBidi" w:cs="Traditional Arabic"/>
        </w:rPr>
        <w:t>Al-</w:t>
      </w:r>
      <w:proofErr w:type="spellStart"/>
      <w:r w:rsidRPr="00537FD1">
        <w:rPr>
          <w:rFonts w:asciiTheme="majorBidi" w:hAnsiTheme="majorBidi" w:cs="Traditional Arabic"/>
        </w:rPr>
        <w:t>Asbahani</w:t>
      </w:r>
      <w:proofErr w:type="spellEnd"/>
      <w:r w:rsidRPr="00537FD1">
        <w:rPr>
          <w:rFonts w:asciiTheme="majorBidi" w:hAnsiTheme="majorBidi" w:cs="Traditional Arabic"/>
        </w:rPr>
        <w:t xml:space="preserve">, Ahmad ibn Abd Allah ibn Ahmad. (1425H). </w:t>
      </w:r>
      <w:proofErr w:type="spellStart"/>
      <w:r w:rsidRPr="00537FD1">
        <w:rPr>
          <w:rFonts w:asciiTheme="majorBidi" w:hAnsiTheme="majorBidi" w:cs="Traditional Arabic"/>
        </w:rPr>
        <w:t>Musnad</w:t>
      </w:r>
      <w:proofErr w:type="spellEnd"/>
      <w:r w:rsidRPr="00537FD1">
        <w:rPr>
          <w:rFonts w:asciiTheme="majorBidi" w:hAnsiTheme="majorBidi" w:cs="Traditional Arabic"/>
        </w:rPr>
        <w:t xml:space="preserve"> Abi </w:t>
      </w:r>
      <w:proofErr w:type="spellStart"/>
      <w:r w:rsidRPr="00537FD1">
        <w:rPr>
          <w:rFonts w:asciiTheme="majorBidi" w:hAnsiTheme="majorBidi" w:cs="Traditional Arabic"/>
        </w:rPr>
        <w:t>Hanifah</w:t>
      </w:r>
      <w:proofErr w:type="spellEnd"/>
      <w:r w:rsidRPr="00537FD1">
        <w:rPr>
          <w:rFonts w:asciiTheme="majorBidi" w:hAnsiTheme="majorBidi" w:cs="Traditional Arabic"/>
        </w:rPr>
        <w:t xml:space="preserve">. Riyad: </w:t>
      </w:r>
      <w:proofErr w:type="spellStart"/>
      <w:r w:rsidRPr="00537FD1">
        <w:rPr>
          <w:rFonts w:asciiTheme="majorBidi" w:hAnsiTheme="majorBidi" w:cs="Traditional Arabic"/>
        </w:rPr>
        <w:t>Maktabat</w:t>
      </w:r>
      <w:proofErr w:type="spellEnd"/>
      <w:r w:rsidRPr="00537FD1">
        <w:rPr>
          <w:rFonts w:asciiTheme="majorBidi" w:hAnsiTheme="majorBidi" w:cs="Traditional Arabic"/>
        </w:rPr>
        <w:t xml:space="preserve"> al-</w:t>
      </w:r>
      <w:proofErr w:type="spellStart"/>
      <w:r w:rsidRPr="00537FD1">
        <w:rPr>
          <w:rFonts w:asciiTheme="majorBidi" w:hAnsiTheme="majorBidi" w:cs="Traditional Arabic"/>
        </w:rPr>
        <w:t>Kawthar</w:t>
      </w:r>
      <w:proofErr w:type="spellEnd"/>
      <w:r w:rsidRPr="00537FD1">
        <w:rPr>
          <w:rFonts w:asciiTheme="majorBidi" w:hAnsiTheme="majorBidi" w:cs="Traditional Arabic"/>
        </w:rPr>
        <w:t>.</w:t>
      </w:r>
    </w:p>
    <w:p w:rsidR="004F19FF" w:rsidRPr="00537FD1" w:rsidRDefault="004F19FF" w:rsidP="00FC1BAF">
      <w:pPr>
        <w:spacing w:line="240" w:lineRule="auto"/>
        <w:ind w:left="720" w:hanging="720"/>
        <w:jc w:val="both"/>
        <w:rPr>
          <w:rFonts w:asciiTheme="majorBidi" w:hAnsiTheme="majorBidi" w:cs="Traditional Arabic"/>
        </w:rPr>
      </w:pPr>
      <w:r w:rsidRPr="00537FD1">
        <w:rPr>
          <w:rFonts w:asciiTheme="majorBidi" w:hAnsiTheme="majorBidi" w:cs="Traditional Arabic"/>
        </w:rPr>
        <w:t xml:space="preserve">Al-Bukhari, Abu </w:t>
      </w:r>
      <w:proofErr w:type="spellStart"/>
      <w:r w:rsidRPr="00537FD1">
        <w:rPr>
          <w:rFonts w:asciiTheme="majorBidi" w:hAnsiTheme="majorBidi" w:cs="Traditional Arabic"/>
        </w:rPr>
        <w:t>Abdulllah</w:t>
      </w:r>
      <w:proofErr w:type="spellEnd"/>
      <w:r w:rsidRPr="00537FD1">
        <w:rPr>
          <w:rFonts w:asciiTheme="majorBidi" w:hAnsiTheme="majorBidi" w:cs="Traditional Arabic"/>
        </w:rPr>
        <w:t xml:space="preserve"> Muhammad ibn Ismail. (n.d.). </w:t>
      </w:r>
      <w:r w:rsidRPr="00537FD1">
        <w:rPr>
          <w:rFonts w:asciiTheme="majorBidi" w:hAnsiTheme="majorBidi" w:cs="Traditional Arabic"/>
          <w:i/>
          <w:iCs/>
        </w:rPr>
        <w:t>Sahih al-Bukhari</w:t>
      </w:r>
      <w:r w:rsidRPr="00537FD1">
        <w:rPr>
          <w:rFonts w:asciiTheme="majorBidi" w:hAnsiTheme="majorBidi" w:cs="Traditional Arabic"/>
        </w:rPr>
        <w:t xml:space="preserve">. Arab Saudi: Dar </w:t>
      </w:r>
      <w:proofErr w:type="spellStart"/>
      <w:r w:rsidRPr="00537FD1">
        <w:rPr>
          <w:rFonts w:asciiTheme="majorBidi" w:hAnsiTheme="majorBidi" w:cs="Traditional Arabic"/>
        </w:rPr>
        <w:t>Ishbiliya</w:t>
      </w:r>
      <w:proofErr w:type="spellEnd"/>
      <w:r w:rsidRPr="00537FD1">
        <w:rPr>
          <w:rFonts w:asciiTheme="majorBidi" w:hAnsiTheme="majorBidi" w:cs="Traditional Arabic"/>
        </w:rPr>
        <w:t>.</w:t>
      </w:r>
    </w:p>
    <w:p w:rsidR="004F19FF" w:rsidRPr="00537FD1" w:rsidRDefault="004F19FF" w:rsidP="00FC1BAF">
      <w:pPr>
        <w:spacing w:line="240" w:lineRule="auto"/>
        <w:ind w:left="720" w:hanging="720"/>
        <w:jc w:val="both"/>
        <w:rPr>
          <w:rFonts w:asciiTheme="majorBidi" w:hAnsiTheme="majorBidi" w:cs="Traditional Arabic"/>
        </w:rPr>
      </w:pPr>
      <w:r w:rsidRPr="00537FD1">
        <w:rPr>
          <w:rFonts w:asciiTheme="majorBidi" w:hAnsiTheme="majorBidi" w:cs="Traditional Arabic"/>
        </w:rPr>
        <w:t>Al-</w:t>
      </w:r>
      <w:proofErr w:type="spellStart"/>
      <w:r w:rsidRPr="00537FD1">
        <w:rPr>
          <w:rFonts w:asciiTheme="majorBidi" w:hAnsiTheme="majorBidi" w:cs="Traditional Arabic"/>
        </w:rPr>
        <w:t>Dahlawi</w:t>
      </w:r>
      <w:proofErr w:type="spellEnd"/>
      <w:r w:rsidRPr="00537FD1">
        <w:rPr>
          <w:rFonts w:asciiTheme="majorBidi" w:hAnsiTheme="majorBidi" w:cs="Traditional Arabic"/>
        </w:rPr>
        <w:t xml:space="preserve">, Muhammad </w:t>
      </w:r>
      <w:proofErr w:type="spellStart"/>
      <w:r w:rsidRPr="00537FD1">
        <w:rPr>
          <w:rFonts w:asciiTheme="majorBidi" w:hAnsiTheme="majorBidi" w:cs="Traditional Arabic"/>
        </w:rPr>
        <w:t>Ya’qub</w:t>
      </w:r>
      <w:proofErr w:type="spellEnd"/>
      <w:r w:rsidRPr="00537FD1">
        <w:rPr>
          <w:rFonts w:asciiTheme="majorBidi" w:hAnsiTheme="majorBidi" w:cs="Traditional Arabic"/>
        </w:rPr>
        <w:t xml:space="preserve"> ibn Muhammad Yusuf (1431H). </w:t>
      </w:r>
      <w:r w:rsidRPr="00537FD1">
        <w:rPr>
          <w:rFonts w:asciiTheme="majorBidi" w:hAnsiTheme="majorBidi" w:cs="Traditional Arabic"/>
          <w:i/>
          <w:iCs/>
        </w:rPr>
        <w:t>Al-</w:t>
      </w:r>
      <w:proofErr w:type="spellStart"/>
      <w:r w:rsidRPr="00537FD1">
        <w:rPr>
          <w:rFonts w:asciiTheme="majorBidi" w:hAnsiTheme="majorBidi" w:cs="Traditional Arabic"/>
          <w:i/>
          <w:iCs/>
        </w:rPr>
        <w:t>Ajir</w:t>
      </w:r>
      <w:proofErr w:type="spellEnd"/>
      <w:r w:rsidRPr="00537FD1">
        <w:rPr>
          <w:rFonts w:asciiTheme="majorBidi" w:hAnsiTheme="majorBidi" w:cs="Traditional Arabic"/>
          <w:i/>
          <w:iCs/>
        </w:rPr>
        <w:t xml:space="preserve"> al-Khas</w:t>
      </w:r>
      <w:r w:rsidRPr="00537FD1">
        <w:rPr>
          <w:rFonts w:asciiTheme="majorBidi" w:hAnsiTheme="majorBidi" w:cs="Traditional Arabic"/>
        </w:rPr>
        <w:t xml:space="preserve">. Madinah: </w:t>
      </w:r>
      <w:proofErr w:type="spellStart"/>
      <w:r w:rsidRPr="00537FD1">
        <w:rPr>
          <w:rFonts w:asciiTheme="majorBidi" w:hAnsiTheme="majorBidi" w:cs="Traditional Arabic"/>
        </w:rPr>
        <w:t>Jamiah</w:t>
      </w:r>
      <w:proofErr w:type="spellEnd"/>
      <w:r w:rsidRPr="00537FD1">
        <w:rPr>
          <w:rFonts w:asciiTheme="majorBidi" w:hAnsiTheme="majorBidi" w:cs="Traditional Arabic"/>
        </w:rPr>
        <w:t xml:space="preserve"> </w:t>
      </w:r>
      <w:proofErr w:type="spellStart"/>
      <w:r w:rsidRPr="00537FD1">
        <w:rPr>
          <w:rFonts w:asciiTheme="majorBidi" w:hAnsiTheme="majorBidi" w:cs="Traditional Arabic"/>
        </w:rPr>
        <w:t>Islamiyyah</w:t>
      </w:r>
      <w:proofErr w:type="spellEnd"/>
      <w:r w:rsidRPr="00537FD1">
        <w:rPr>
          <w:rFonts w:asciiTheme="majorBidi" w:hAnsiTheme="majorBidi" w:cs="Traditional Arabic"/>
        </w:rPr>
        <w:t>.</w:t>
      </w:r>
    </w:p>
    <w:p w:rsidR="004F19FF" w:rsidRPr="00537FD1" w:rsidRDefault="004F19FF" w:rsidP="00FC1BAF">
      <w:pPr>
        <w:pStyle w:val="NoSpacing"/>
        <w:ind w:left="720" w:hanging="720"/>
        <w:jc w:val="both"/>
        <w:rPr>
          <w:rFonts w:asciiTheme="majorBidi" w:hAnsiTheme="majorBidi" w:cs="Traditional Arabic"/>
          <w:sz w:val="22"/>
          <w:szCs w:val="22"/>
        </w:rPr>
      </w:pPr>
      <w:proofErr w:type="spellStart"/>
      <w:r w:rsidRPr="00537FD1">
        <w:rPr>
          <w:rFonts w:asciiTheme="majorBidi" w:hAnsiTheme="majorBidi" w:cs="Traditional Arabic"/>
          <w:sz w:val="22"/>
          <w:szCs w:val="22"/>
        </w:rPr>
        <w:t>Nuh</w:t>
      </w:r>
      <w:proofErr w:type="spellEnd"/>
      <w:r w:rsidRPr="00537FD1">
        <w:rPr>
          <w:rFonts w:asciiTheme="majorBidi" w:hAnsiTheme="majorBidi" w:cs="Traditional Arabic"/>
          <w:sz w:val="22"/>
          <w:szCs w:val="22"/>
        </w:rPr>
        <w:t xml:space="preserve"> Ali Salman. </w:t>
      </w:r>
      <w:proofErr w:type="spellStart"/>
      <w:r w:rsidRPr="00537FD1">
        <w:rPr>
          <w:rFonts w:asciiTheme="majorBidi" w:hAnsiTheme="majorBidi" w:cs="Traditional Arabic"/>
          <w:sz w:val="22"/>
          <w:szCs w:val="22"/>
        </w:rPr>
        <w:t>Hukm</w:t>
      </w:r>
      <w:proofErr w:type="spellEnd"/>
      <w:r w:rsidRPr="00537FD1">
        <w:rPr>
          <w:rFonts w:asciiTheme="majorBidi" w:hAnsiTheme="majorBidi" w:cs="Traditional Arabic"/>
          <w:sz w:val="22"/>
          <w:szCs w:val="22"/>
        </w:rPr>
        <w:t xml:space="preserve"> </w:t>
      </w:r>
      <w:proofErr w:type="spellStart"/>
      <w:r w:rsidRPr="00537FD1">
        <w:rPr>
          <w:rFonts w:asciiTheme="majorBidi" w:hAnsiTheme="majorBidi" w:cs="Traditional Arabic"/>
          <w:sz w:val="22"/>
          <w:szCs w:val="22"/>
        </w:rPr>
        <w:t>Akhdh</w:t>
      </w:r>
      <w:proofErr w:type="spellEnd"/>
      <w:r w:rsidRPr="00537FD1">
        <w:rPr>
          <w:rFonts w:asciiTheme="majorBidi" w:hAnsiTheme="majorBidi" w:cs="Traditional Arabic"/>
          <w:sz w:val="22"/>
          <w:szCs w:val="22"/>
        </w:rPr>
        <w:t xml:space="preserve"> al-</w:t>
      </w:r>
      <w:proofErr w:type="spellStart"/>
      <w:r w:rsidRPr="00537FD1">
        <w:rPr>
          <w:rFonts w:asciiTheme="majorBidi" w:hAnsiTheme="majorBidi" w:cs="Traditional Arabic"/>
          <w:sz w:val="22"/>
          <w:szCs w:val="22"/>
        </w:rPr>
        <w:t>Ujrah</w:t>
      </w:r>
      <w:proofErr w:type="spellEnd"/>
      <w:r w:rsidRPr="00537FD1">
        <w:rPr>
          <w:rFonts w:asciiTheme="majorBidi" w:hAnsiTheme="majorBidi" w:cs="Traditional Arabic"/>
          <w:sz w:val="22"/>
          <w:szCs w:val="22"/>
        </w:rPr>
        <w:t xml:space="preserve"> Ala </w:t>
      </w:r>
      <w:proofErr w:type="spellStart"/>
      <w:r w:rsidRPr="00537FD1">
        <w:rPr>
          <w:rFonts w:asciiTheme="majorBidi" w:hAnsiTheme="majorBidi" w:cs="Traditional Arabic"/>
          <w:sz w:val="22"/>
          <w:szCs w:val="22"/>
        </w:rPr>
        <w:t>Taghsil</w:t>
      </w:r>
      <w:proofErr w:type="spellEnd"/>
      <w:r w:rsidRPr="00537FD1">
        <w:rPr>
          <w:rFonts w:asciiTheme="majorBidi" w:hAnsiTheme="majorBidi" w:cs="Traditional Arabic"/>
          <w:sz w:val="22"/>
          <w:szCs w:val="22"/>
        </w:rPr>
        <w:t xml:space="preserve"> al-</w:t>
      </w:r>
      <w:proofErr w:type="spellStart"/>
      <w:r w:rsidRPr="00537FD1">
        <w:rPr>
          <w:rFonts w:asciiTheme="majorBidi" w:hAnsiTheme="majorBidi" w:cs="Traditional Arabic"/>
          <w:sz w:val="22"/>
          <w:szCs w:val="22"/>
        </w:rPr>
        <w:t>Mayyit</w:t>
      </w:r>
      <w:proofErr w:type="spellEnd"/>
      <w:r w:rsidRPr="00537FD1">
        <w:rPr>
          <w:rFonts w:asciiTheme="majorBidi" w:hAnsiTheme="majorBidi" w:cs="Traditional Arabic"/>
          <w:sz w:val="22"/>
          <w:szCs w:val="22"/>
        </w:rPr>
        <w:t xml:space="preserve">. </w:t>
      </w:r>
      <w:proofErr w:type="spellStart"/>
      <w:r w:rsidRPr="00537FD1">
        <w:rPr>
          <w:rFonts w:asciiTheme="majorBidi" w:hAnsiTheme="majorBidi" w:cs="Traditional Arabic"/>
          <w:i/>
          <w:iCs/>
          <w:sz w:val="22"/>
          <w:szCs w:val="22"/>
        </w:rPr>
        <w:t>Safhah</w:t>
      </w:r>
      <w:proofErr w:type="spellEnd"/>
      <w:r w:rsidRPr="00537FD1">
        <w:rPr>
          <w:rFonts w:asciiTheme="majorBidi" w:hAnsiTheme="majorBidi" w:cs="Traditional Arabic"/>
          <w:i/>
          <w:iCs/>
          <w:sz w:val="22"/>
          <w:szCs w:val="22"/>
        </w:rPr>
        <w:t xml:space="preserve"> al-</w:t>
      </w:r>
      <w:proofErr w:type="spellStart"/>
      <w:r w:rsidRPr="00537FD1">
        <w:rPr>
          <w:rFonts w:asciiTheme="majorBidi" w:hAnsiTheme="majorBidi" w:cs="Traditional Arabic"/>
          <w:i/>
          <w:iCs/>
          <w:sz w:val="22"/>
          <w:szCs w:val="22"/>
        </w:rPr>
        <w:t>Ra’isiyyah</w:t>
      </w:r>
      <w:proofErr w:type="spellEnd"/>
      <w:r w:rsidRPr="00537FD1">
        <w:rPr>
          <w:rFonts w:asciiTheme="majorBidi" w:hAnsiTheme="majorBidi" w:cs="Traditional Arabic"/>
          <w:i/>
          <w:iCs/>
          <w:sz w:val="22"/>
          <w:szCs w:val="22"/>
        </w:rPr>
        <w:t xml:space="preserve"> al-</w:t>
      </w:r>
      <w:proofErr w:type="spellStart"/>
      <w:r w:rsidRPr="00537FD1">
        <w:rPr>
          <w:rFonts w:asciiTheme="majorBidi" w:hAnsiTheme="majorBidi" w:cs="Traditional Arabic"/>
          <w:i/>
          <w:iCs/>
          <w:sz w:val="22"/>
          <w:szCs w:val="22"/>
        </w:rPr>
        <w:t>Fatawa</w:t>
      </w:r>
      <w:proofErr w:type="spellEnd"/>
      <w:r w:rsidRPr="00537FD1">
        <w:rPr>
          <w:rFonts w:asciiTheme="majorBidi" w:hAnsiTheme="majorBidi" w:cs="Traditional Arabic"/>
          <w:sz w:val="22"/>
          <w:szCs w:val="22"/>
        </w:rPr>
        <w:t xml:space="preserve">. &lt;http://aliftaa.jo&gt;. accessed: 16 </w:t>
      </w:r>
      <w:proofErr w:type="spellStart"/>
      <w:r w:rsidRPr="00537FD1">
        <w:rPr>
          <w:rFonts w:asciiTheme="majorBidi" w:hAnsiTheme="majorBidi" w:cs="Traditional Arabic"/>
          <w:sz w:val="22"/>
          <w:szCs w:val="22"/>
        </w:rPr>
        <w:t>Desember</w:t>
      </w:r>
      <w:proofErr w:type="spellEnd"/>
      <w:r w:rsidRPr="00537FD1">
        <w:rPr>
          <w:rFonts w:asciiTheme="majorBidi" w:hAnsiTheme="majorBidi" w:cs="Traditional Arabic"/>
          <w:sz w:val="22"/>
          <w:szCs w:val="22"/>
        </w:rPr>
        <w:t xml:space="preserve"> 2016.</w:t>
      </w:r>
    </w:p>
    <w:p w:rsidR="004F19FF" w:rsidRPr="00537FD1" w:rsidRDefault="004F19FF" w:rsidP="004F19FF">
      <w:pPr>
        <w:pStyle w:val="NoSpacing"/>
        <w:jc w:val="both"/>
        <w:rPr>
          <w:rFonts w:asciiTheme="majorBidi" w:hAnsiTheme="majorBidi" w:cs="Traditional Arabic"/>
          <w:sz w:val="22"/>
          <w:szCs w:val="22"/>
        </w:rPr>
      </w:pPr>
    </w:p>
    <w:sectPr w:rsidR="004F19FF" w:rsidRPr="00537FD1" w:rsidSect="00206573">
      <w:headerReference w:type="even" r:id="rId8"/>
      <w:headerReference w:type="default" r:id="rId9"/>
      <w:headerReference w:type="first" r:id="rId10"/>
      <w:pgSz w:w="11906" w:h="16838" w:code="9"/>
      <w:pgMar w:top="121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2D7" w:rsidRDefault="005C52D7" w:rsidP="00971D50">
      <w:pPr>
        <w:spacing w:after="0" w:line="240" w:lineRule="auto"/>
      </w:pPr>
      <w:r>
        <w:separator/>
      </w:r>
    </w:p>
  </w:endnote>
  <w:endnote w:type="continuationSeparator" w:id="0">
    <w:p w:rsidR="005C52D7" w:rsidRDefault="005C52D7" w:rsidP="00971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2D7" w:rsidRDefault="005C52D7" w:rsidP="00971D50">
      <w:pPr>
        <w:spacing w:after="0" w:line="240" w:lineRule="auto"/>
      </w:pPr>
      <w:r>
        <w:separator/>
      </w:r>
    </w:p>
  </w:footnote>
  <w:footnote w:type="continuationSeparator" w:id="0">
    <w:p w:rsidR="005C52D7" w:rsidRDefault="005C52D7" w:rsidP="00971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9FF" w:rsidRPr="00206573" w:rsidRDefault="004F19FF" w:rsidP="004F19FF">
    <w:pPr>
      <w:pStyle w:val="Header"/>
      <w:jc w:val="center"/>
      <w:rPr>
        <w:rFonts w:asciiTheme="minorBidi" w:hAnsiTheme="minorBidi"/>
        <w:sz w:val="16"/>
        <w:szCs w:val="16"/>
        <w:lang w:val="en-US"/>
      </w:rPr>
    </w:pPr>
    <w:r w:rsidRPr="00206573">
      <w:rPr>
        <w:rFonts w:asciiTheme="minorBidi" w:hAnsiTheme="minorBidi"/>
        <w:sz w:val="16"/>
        <w:szCs w:val="16"/>
        <w:lang w:val="en-US"/>
      </w:rPr>
      <w:t xml:space="preserve">Malaysian Journal of Syariah and law | </w:t>
    </w:r>
    <w:r w:rsidRPr="00206573">
      <w:rPr>
        <w:rFonts w:asciiTheme="minorBidi" w:hAnsiTheme="minorBidi" w:hint="cs"/>
        <w:sz w:val="16"/>
        <w:szCs w:val="16"/>
        <w:rtl/>
        <w:lang w:val="en-US"/>
      </w:rPr>
      <w:t>مجلة الشريعة والقانون بماليزيا</w:t>
    </w:r>
    <w:r w:rsidRPr="00206573">
      <w:rPr>
        <w:rFonts w:asciiTheme="minorBidi" w:hAnsiTheme="minorBidi"/>
        <w:sz w:val="16"/>
        <w:szCs w:val="16"/>
        <w:lang w:val="en-US"/>
      </w:rPr>
      <w:t xml:space="preserve"> | Vol 7,</w:t>
    </w:r>
    <w:r>
      <w:rPr>
        <w:rFonts w:asciiTheme="minorBidi" w:hAnsiTheme="minorBidi"/>
        <w:sz w:val="16"/>
        <w:szCs w:val="16"/>
        <w:lang w:val="en-US"/>
      </w:rPr>
      <w:t xml:space="preserve"> No.1,</w:t>
    </w:r>
    <w:r w:rsidRPr="00206573">
      <w:rPr>
        <w:rFonts w:asciiTheme="minorBidi" w:hAnsiTheme="minorBidi"/>
        <w:sz w:val="16"/>
        <w:szCs w:val="16"/>
        <w:lang w:val="en-US"/>
      </w:rPr>
      <w:t xml:space="preserve"> June 201</w:t>
    </w:r>
    <w:r>
      <w:rPr>
        <w:rFonts w:asciiTheme="minorBidi" w:hAnsiTheme="minorBidi"/>
        <w:sz w:val="16"/>
        <w:szCs w:val="16"/>
        <w:lang w:val="en-US"/>
      </w:rPr>
      <w:t>9</w:t>
    </w:r>
  </w:p>
  <w:p w:rsidR="00620F13" w:rsidRPr="004F19FF" w:rsidRDefault="00620F13" w:rsidP="004F19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6CA" w:rsidRPr="00240B1B" w:rsidRDefault="003536CA" w:rsidP="003536CA">
    <w:pPr>
      <w:bidi/>
      <w:jc w:val="center"/>
      <w:rPr>
        <w:rFonts w:asciiTheme="majorBidi" w:hAnsiTheme="majorBidi" w:cstheme="majorBidi"/>
        <w:b/>
        <w:bCs/>
        <w:sz w:val="20"/>
        <w:szCs w:val="20"/>
        <w:lang w:bidi="ar-JO"/>
      </w:rPr>
    </w:pPr>
    <w:r w:rsidRPr="00240B1B">
      <w:rPr>
        <w:rFonts w:asciiTheme="majorBidi" w:hAnsiTheme="majorBidi" w:cstheme="majorBidi"/>
        <w:b/>
        <w:bCs/>
        <w:sz w:val="20"/>
        <w:szCs w:val="20"/>
        <w:rtl/>
        <w:lang w:bidi="ar-JO"/>
      </w:rPr>
      <w:t>الأجرة  في منظور مذهبي الشافعي والحنبلي: دراسة مقارنة</w:t>
    </w:r>
  </w:p>
  <w:p w:rsidR="00971D50" w:rsidRPr="003536CA" w:rsidRDefault="00971D50" w:rsidP="003536CA">
    <w:pPr>
      <w:pStyle w:val="Header"/>
      <w:rPr>
        <w:rFonts w:asciiTheme="majorBidi" w:hAnsiTheme="majorBidi" w:cstheme="majorBid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932" w:rsidRPr="00F14E70" w:rsidRDefault="00484932" w:rsidP="00484932">
    <w:pPr>
      <w:pStyle w:val="Header"/>
      <w:tabs>
        <w:tab w:val="clear" w:pos="4513"/>
        <w:tab w:val="clear" w:pos="9026"/>
        <w:tab w:val="right" w:pos="5760"/>
      </w:tabs>
      <w:jc w:val="center"/>
      <w:rPr>
        <w:b/>
        <w:bCs/>
        <w:sz w:val="20"/>
        <w:szCs w:val="20"/>
      </w:rPr>
    </w:pPr>
    <w:r>
      <w:rPr>
        <w:b/>
        <w:bCs/>
        <w:sz w:val="20"/>
        <w:szCs w:val="20"/>
      </w:rPr>
      <w:t>The 2</w:t>
    </w:r>
    <w:r w:rsidRPr="00F14E70">
      <w:rPr>
        <w:b/>
        <w:bCs/>
        <w:sz w:val="20"/>
        <w:szCs w:val="20"/>
        <w:vertAlign w:val="superscript"/>
      </w:rPr>
      <w:t>nd</w:t>
    </w:r>
    <w:r>
      <w:rPr>
        <w:b/>
        <w:bCs/>
        <w:sz w:val="20"/>
        <w:szCs w:val="20"/>
      </w:rPr>
      <w:t xml:space="preserve"> </w:t>
    </w:r>
    <w:r w:rsidRPr="00F14E70">
      <w:rPr>
        <w:b/>
        <w:bCs/>
        <w:sz w:val="20"/>
        <w:szCs w:val="20"/>
      </w:rPr>
      <w:t>International Conference of the Postgraduate Students and Academics in Syariah and Law</w:t>
    </w:r>
  </w:p>
  <w:p w:rsidR="00484932" w:rsidRPr="00F14E70" w:rsidRDefault="00484932" w:rsidP="00484932">
    <w:pPr>
      <w:pStyle w:val="Header"/>
      <w:tabs>
        <w:tab w:val="clear" w:pos="9026"/>
        <w:tab w:val="left" w:pos="3150"/>
        <w:tab w:val="right" w:pos="5760"/>
      </w:tabs>
      <w:rPr>
        <w:rStyle w:val="Strong"/>
        <w:sz w:val="20"/>
        <w:szCs w:val="20"/>
      </w:rPr>
    </w:pPr>
    <w:r>
      <w:rPr>
        <w:sz w:val="20"/>
        <w:szCs w:val="20"/>
      </w:rPr>
      <w:tab/>
    </w:r>
    <w:r>
      <w:rPr>
        <w:sz w:val="20"/>
        <w:szCs w:val="20"/>
      </w:rPr>
      <w:tab/>
    </w:r>
    <w:r w:rsidRPr="00F14E70">
      <w:rPr>
        <w:sz w:val="20"/>
        <w:szCs w:val="20"/>
      </w:rPr>
      <w:t xml:space="preserve">e-ISBN No. </w:t>
    </w:r>
    <w:r w:rsidRPr="00F14E70">
      <w:rPr>
        <w:rStyle w:val="Strong"/>
        <w:sz w:val="20"/>
        <w:szCs w:val="20"/>
      </w:rPr>
      <w:t>978-967-XXXX-XX-X</w:t>
    </w:r>
  </w:p>
  <w:p w:rsidR="00484932" w:rsidRPr="00F14E70" w:rsidRDefault="00484932" w:rsidP="00484932">
    <w:pPr>
      <w:pStyle w:val="Header"/>
      <w:tabs>
        <w:tab w:val="clear" w:pos="4513"/>
        <w:tab w:val="clear" w:pos="9026"/>
        <w:tab w:val="right" w:pos="5760"/>
      </w:tabs>
      <w:jc w:val="center"/>
      <w:rPr>
        <w:sz w:val="20"/>
        <w:szCs w:val="20"/>
      </w:rPr>
    </w:pPr>
    <w:r w:rsidRPr="00F14E70">
      <w:rPr>
        <w:sz w:val="20"/>
        <w:szCs w:val="20"/>
      </w:rPr>
      <w:t>http://inpac.usim.edu.my/index.php/inpac2019</w:t>
    </w:r>
  </w:p>
  <w:p w:rsidR="00484932" w:rsidRDefault="00484932" w:rsidP="00484932">
    <w:pPr>
      <w:pStyle w:val="Header"/>
      <w:tabs>
        <w:tab w:val="clear" w:pos="4513"/>
        <w:tab w:val="clear" w:pos="9026"/>
        <w:tab w:val="right" w:pos="5760"/>
      </w:tabs>
    </w:pPr>
    <w:r>
      <w:t>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A4EAE"/>
    <w:multiLevelType w:val="hybridMultilevel"/>
    <w:tmpl w:val="49B059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2D5534"/>
    <w:multiLevelType w:val="hybridMultilevel"/>
    <w:tmpl w:val="F1F4B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1F2ADE"/>
    <w:multiLevelType w:val="hybridMultilevel"/>
    <w:tmpl w:val="62745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D50"/>
    <w:rsid w:val="00050DFF"/>
    <w:rsid w:val="00077C8B"/>
    <w:rsid w:val="000C2B2F"/>
    <w:rsid w:val="000E0698"/>
    <w:rsid w:val="00112911"/>
    <w:rsid w:val="001E570A"/>
    <w:rsid w:val="001F3B7D"/>
    <w:rsid w:val="00206573"/>
    <w:rsid w:val="00240B1B"/>
    <w:rsid w:val="00295B07"/>
    <w:rsid w:val="002A0323"/>
    <w:rsid w:val="002C796A"/>
    <w:rsid w:val="002F1C27"/>
    <w:rsid w:val="00342997"/>
    <w:rsid w:val="003536CA"/>
    <w:rsid w:val="00397DFF"/>
    <w:rsid w:val="003B5A88"/>
    <w:rsid w:val="00473B88"/>
    <w:rsid w:val="00484932"/>
    <w:rsid w:val="004A36F0"/>
    <w:rsid w:val="004E6330"/>
    <w:rsid w:val="004F19FF"/>
    <w:rsid w:val="004F5830"/>
    <w:rsid w:val="00511B15"/>
    <w:rsid w:val="00537FD1"/>
    <w:rsid w:val="00565BF8"/>
    <w:rsid w:val="00583DF4"/>
    <w:rsid w:val="00594133"/>
    <w:rsid w:val="005C52D7"/>
    <w:rsid w:val="005C5F17"/>
    <w:rsid w:val="00620F13"/>
    <w:rsid w:val="006542DE"/>
    <w:rsid w:val="0067064A"/>
    <w:rsid w:val="006B5D74"/>
    <w:rsid w:val="006F790C"/>
    <w:rsid w:val="007136F4"/>
    <w:rsid w:val="007A289C"/>
    <w:rsid w:val="007A7B78"/>
    <w:rsid w:val="007B7795"/>
    <w:rsid w:val="00836F6D"/>
    <w:rsid w:val="00892DB1"/>
    <w:rsid w:val="008B24E1"/>
    <w:rsid w:val="00971D50"/>
    <w:rsid w:val="00994F9A"/>
    <w:rsid w:val="009A51A6"/>
    <w:rsid w:val="009A7034"/>
    <w:rsid w:val="009C4F7F"/>
    <w:rsid w:val="009E4448"/>
    <w:rsid w:val="00A55AC4"/>
    <w:rsid w:val="00B519E4"/>
    <w:rsid w:val="00B5687A"/>
    <w:rsid w:val="00C40878"/>
    <w:rsid w:val="00C52BC5"/>
    <w:rsid w:val="00D23DD5"/>
    <w:rsid w:val="00DB3C7B"/>
    <w:rsid w:val="00DC5839"/>
    <w:rsid w:val="00DD3ECB"/>
    <w:rsid w:val="00E1753E"/>
    <w:rsid w:val="00F006B0"/>
    <w:rsid w:val="00F02233"/>
    <w:rsid w:val="00F36E59"/>
    <w:rsid w:val="00F73164"/>
    <w:rsid w:val="00FC1BAF"/>
    <w:rsid w:val="00FD1465"/>
    <w:rsid w:val="00FE0A98"/>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62896D-791F-4708-8278-E79D7FDB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19FF"/>
  </w:style>
  <w:style w:type="paragraph" w:styleId="Heading1">
    <w:name w:val="heading 1"/>
    <w:basedOn w:val="Normal"/>
    <w:link w:val="Heading1Char"/>
    <w:uiPriority w:val="9"/>
    <w:qFormat/>
    <w:rsid w:val="00050DF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5941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050DFF"/>
    <w:pPr>
      <w:keepNext/>
      <w:spacing w:before="240" w:after="60" w:line="240" w:lineRule="auto"/>
      <w:outlineLvl w:val="2"/>
    </w:pPr>
    <w:rPr>
      <w:rFonts w:ascii="Calibri Light" w:eastAsia="Times New Roman" w:hAnsi="Calibri Light" w:cs="Times New Roman"/>
      <w:b/>
      <w:bCs/>
      <w:sz w:val="26"/>
      <w:szCs w:val="26"/>
      <w:lang w:val="en-US"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71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971D50"/>
    <w:pPr>
      <w:spacing w:after="0" w:line="240" w:lineRule="auto"/>
      <w:jc w:val="both"/>
    </w:pPr>
    <w:rPr>
      <w:rFonts w:ascii="Arial" w:eastAsia="Times New Roman" w:hAnsi="Arial" w:cs="Times New Roman"/>
      <w:sz w:val="20"/>
      <w:szCs w:val="20"/>
      <w:lang w:val="en-US"/>
    </w:rPr>
  </w:style>
  <w:style w:type="character" w:customStyle="1" w:styleId="BodyTextChar">
    <w:name w:val="Body Text Char"/>
    <w:basedOn w:val="DefaultParagraphFont"/>
    <w:link w:val="BodyText"/>
    <w:uiPriority w:val="99"/>
    <w:rsid w:val="00971D50"/>
    <w:rPr>
      <w:rFonts w:ascii="Arial" w:eastAsia="Times New Roman" w:hAnsi="Arial" w:cs="Times New Roman"/>
      <w:sz w:val="20"/>
      <w:szCs w:val="20"/>
      <w:lang w:val="en-US"/>
    </w:rPr>
  </w:style>
  <w:style w:type="paragraph" w:styleId="Header">
    <w:name w:val="header"/>
    <w:basedOn w:val="Normal"/>
    <w:link w:val="HeaderChar"/>
    <w:unhideWhenUsed/>
    <w:rsid w:val="00971D50"/>
    <w:pPr>
      <w:tabs>
        <w:tab w:val="center" w:pos="4513"/>
        <w:tab w:val="right" w:pos="9026"/>
      </w:tabs>
      <w:spacing w:after="0" w:line="240" w:lineRule="auto"/>
    </w:pPr>
  </w:style>
  <w:style w:type="character" w:customStyle="1" w:styleId="HeaderChar">
    <w:name w:val="Header Char"/>
    <w:basedOn w:val="DefaultParagraphFont"/>
    <w:link w:val="Header"/>
    <w:rsid w:val="00971D50"/>
  </w:style>
  <w:style w:type="paragraph" w:styleId="Footer">
    <w:name w:val="footer"/>
    <w:basedOn w:val="Normal"/>
    <w:link w:val="FooterChar"/>
    <w:unhideWhenUsed/>
    <w:rsid w:val="00971D50"/>
    <w:pPr>
      <w:tabs>
        <w:tab w:val="center" w:pos="4513"/>
        <w:tab w:val="right" w:pos="9026"/>
      </w:tabs>
      <w:spacing w:after="0" w:line="240" w:lineRule="auto"/>
    </w:pPr>
  </w:style>
  <w:style w:type="character" w:customStyle="1" w:styleId="FooterChar">
    <w:name w:val="Footer Char"/>
    <w:basedOn w:val="DefaultParagraphFont"/>
    <w:link w:val="Footer"/>
    <w:rsid w:val="00971D50"/>
  </w:style>
  <w:style w:type="character" w:styleId="Hyperlink">
    <w:name w:val="Hyperlink"/>
    <w:basedOn w:val="DefaultParagraphFont"/>
    <w:uiPriority w:val="99"/>
    <w:unhideWhenUsed/>
    <w:rsid w:val="009A7034"/>
    <w:rPr>
      <w:color w:val="0563C1" w:themeColor="hyperlink"/>
      <w:u w:val="single"/>
    </w:rPr>
  </w:style>
  <w:style w:type="character" w:customStyle="1" w:styleId="Heading1Char">
    <w:name w:val="Heading 1 Char"/>
    <w:basedOn w:val="DefaultParagraphFont"/>
    <w:link w:val="Heading1"/>
    <w:uiPriority w:val="9"/>
    <w:rsid w:val="00050DFF"/>
    <w:rPr>
      <w:rFonts w:ascii="Times New Roman" w:eastAsia="Times New Roman" w:hAnsi="Times New Roman" w:cs="Times New Roman"/>
      <w:b/>
      <w:bCs/>
      <w:kern w:val="36"/>
      <w:sz w:val="48"/>
      <w:szCs w:val="48"/>
      <w:lang w:val="en-US"/>
    </w:rPr>
  </w:style>
  <w:style w:type="character" w:customStyle="1" w:styleId="Heading3Char">
    <w:name w:val="Heading 3 Char"/>
    <w:basedOn w:val="DefaultParagraphFont"/>
    <w:link w:val="Heading3"/>
    <w:semiHidden/>
    <w:rsid w:val="00050DFF"/>
    <w:rPr>
      <w:rFonts w:ascii="Calibri Light" w:eastAsia="Times New Roman" w:hAnsi="Calibri Light" w:cs="Times New Roman"/>
      <w:b/>
      <w:bCs/>
      <w:sz w:val="26"/>
      <w:szCs w:val="26"/>
      <w:lang w:val="en-US" w:eastAsia="lt-LT"/>
    </w:rPr>
  </w:style>
  <w:style w:type="paragraph" w:customStyle="1" w:styleId="prliminairetitre">
    <w:name w:val="prliminairetitre"/>
    <w:basedOn w:val="Normal"/>
    <w:rsid w:val="00050DFF"/>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styleId="FootnoteText">
    <w:name w:val="footnote text"/>
    <w:basedOn w:val="Normal"/>
    <w:link w:val="FootnoteTextChar"/>
    <w:uiPriority w:val="99"/>
    <w:rsid w:val="00050DFF"/>
    <w:pPr>
      <w:spacing w:after="0" w:line="240" w:lineRule="auto"/>
    </w:pPr>
    <w:rPr>
      <w:rFonts w:ascii="Times New Roman" w:eastAsia="Times New Roman" w:hAnsi="Times New Roman" w:cs="Times New Roman"/>
      <w:sz w:val="20"/>
      <w:szCs w:val="20"/>
      <w:lang w:val="en-US" w:eastAsia="lt-LT"/>
    </w:rPr>
  </w:style>
  <w:style w:type="character" w:customStyle="1" w:styleId="FootnoteTextChar">
    <w:name w:val="Footnote Text Char"/>
    <w:basedOn w:val="DefaultParagraphFont"/>
    <w:link w:val="FootnoteText"/>
    <w:uiPriority w:val="99"/>
    <w:rsid w:val="00050DFF"/>
    <w:rPr>
      <w:rFonts w:ascii="Times New Roman" w:eastAsia="Times New Roman" w:hAnsi="Times New Roman" w:cs="Times New Roman"/>
      <w:sz w:val="20"/>
      <w:szCs w:val="20"/>
      <w:lang w:val="en-US" w:eastAsia="lt-LT"/>
    </w:rPr>
  </w:style>
  <w:style w:type="character" w:styleId="FootnoteReference">
    <w:name w:val="footnote reference"/>
    <w:uiPriority w:val="99"/>
    <w:rsid w:val="00050DFF"/>
    <w:rPr>
      <w:vertAlign w:val="superscript"/>
    </w:rPr>
  </w:style>
  <w:style w:type="character" w:customStyle="1" w:styleId="apple-converted-space">
    <w:name w:val="apple-converted-space"/>
    <w:rsid w:val="00050DFF"/>
  </w:style>
  <w:style w:type="character" w:customStyle="1" w:styleId="addmd">
    <w:name w:val="addmd"/>
    <w:rsid w:val="00050DFF"/>
  </w:style>
  <w:style w:type="paragraph" w:styleId="NoSpacing">
    <w:name w:val="No Spacing"/>
    <w:link w:val="NoSpacingChar"/>
    <w:uiPriority w:val="1"/>
    <w:qFormat/>
    <w:rsid w:val="00050DFF"/>
    <w:pPr>
      <w:spacing w:after="0" w:line="240" w:lineRule="auto"/>
    </w:pPr>
    <w:rPr>
      <w:rFonts w:ascii="Times New Roman" w:eastAsia="Times New Roman" w:hAnsi="Times New Roman" w:cs="Times New Roman"/>
      <w:sz w:val="24"/>
      <w:szCs w:val="24"/>
      <w:lang w:val="en-US" w:eastAsia="lt-LT"/>
    </w:rPr>
  </w:style>
  <w:style w:type="paragraph" w:styleId="ListParagraph">
    <w:name w:val="List Paragraph"/>
    <w:basedOn w:val="Normal"/>
    <w:uiPriority w:val="34"/>
    <w:qFormat/>
    <w:rsid w:val="00050DFF"/>
    <w:pPr>
      <w:spacing w:after="0" w:line="240" w:lineRule="auto"/>
      <w:ind w:left="720"/>
    </w:pPr>
    <w:rPr>
      <w:rFonts w:ascii="Times New Roman" w:eastAsia="Times New Roman" w:hAnsi="Times New Roman" w:cs="Times New Roman"/>
      <w:sz w:val="24"/>
      <w:szCs w:val="24"/>
      <w:lang w:val="en-US"/>
    </w:rPr>
  </w:style>
  <w:style w:type="character" w:styleId="HTMLCite">
    <w:name w:val="HTML Cite"/>
    <w:uiPriority w:val="99"/>
    <w:unhideWhenUsed/>
    <w:rsid w:val="00050DFF"/>
    <w:rPr>
      <w:i/>
      <w:iCs/>
    </w:rPr>
  </w:style>
  <w:style w:type="paragraph" w:customStyle="1" w:styleId="EndNoteBibliographyTitle">
    <w:name w:val="EndNote Bibliography Title"/>
    <w:basedOn w:val="Normal"/>
    <w:link w:val="EndNoteBibliographyTitleChar"/>
    <w:rsid w:val="00050DFF"/>
    <w:pPr>
      <w:spacing w:after="0" w:line="240" w:lineRule="auto"/>
      <w:jc w:val="center"/>
    </w:pPr>
    <w:rPr>
      <w:rFonts w:ascii="Times New Roman" w:eastAsia="Times New Roman" w:hAnsi="Times New Roman" w:cs="Times New Roman"/>
      <w:noProof/>
      <w:sz w:val="24"/>
      <w:szCs w:val="24"/>
      <w:lang w:val="lt-LT" w:eastAsia="lt-LT"/>
    </w:rPr>
  </w:style>
  <w:style w:type="character" w:customStyle="1" w:styleId="EndNoteBibliographyTitleChar">
    <w:name w:val="EndNote Bibliography Title Char"/>
    <w:link w:val="EndNoteBibliographyTitle"/>
    <w:rsid w:val="00050DFF"/>
    <w:rPr>
      <w:rFonts w:ascii="Times New Roman" w:eastAsia="Times New Roman" w:hAnsi="Times New Roman" w:cs="Times New Roman"/>
      <w:noProof/>
      <w:sz w:val="24"/>
      <w:szCs w:val="24"/>
      <w:lang w:val="lt-LT" w:eastAsia="lt-LT"/>
    </w:rPr>
  </w:style>
  <w:style w:type="paragraph" w:customStyle="1" w:styleId="EndNoteBibliography">
    <w:name w:val="EndNote Bibliography"/>
    <w:basedOn w:val="Normal"/>
    <w:link w:val="EndNoteBibliographyChar"/>
    <w:rsid w:val="00050DFF"/>
    <w:pPr>
      <w:spacing w:after="0" w:line="240" w:lineRule="auto"/>
      <w:jc w:val="both"/>
    </w:pPr>
    <w:rPr>
      <w:rFonts w:ascii="Times New Roman" w:eastAsia="Times New Roman" w:hAnsi="Times New Roman" w:cs="Times New Roman"/>
      <w:noProof/>
      <w:sz w:val="24"/>
      <w:szCs w:val="24"/>
      <w:lang w:val="lt-LT" w:eastAsia="lt-LT"/>
    </w:rPr>
  </w:style>
  <w:style w:type="character" w:customStyle="1" w:styleId="EndNoteBibliographyChar">
    <w:name w:val="EndNote Bibliography Char"/>
    <w:link w:val="EndNoteBibliography"/>
    <w:rsid w:val="00050DFF"/>
    <w:rPr>
      <w:rFonts w:ascii="Times New Roman" w:eastAsia="Times New Roman" w:hAnsi="Times New Roman" w:cs="Times New Roman"/>
      <w:noProof/>
      <w:sz w:val="24"/>
      <w:szCs w:val="24"/>
      <w:lang w:val="lt-LT" w:eastAsia="lt-LT"/>
    </w:rPr>
  </w:style>
  <w:style w:type="paragraph" w:styleId="TOCHeading">
    <w:name w:val="TOC Heading"/>
    <w:basedOn w:val="Heading1"/>
    <w:next w:val="Normal"/>
    <w:uiPriority w:val="39"/>
    <w:unhideWhenUsed/>
    <w:qFormat/>
    <w:rsid w:val="00050DFF"/>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styleId="TOC1">
    <w:name w:val="toc 1"/>
    <w:basedOn w:val="Normal"/>
    <w:next w:val="Normal"/>
    <w:autoRedefine/>
    <w:uiPriority w:val="39"/>
    <w:rsid w:val="00050DFF"/>
    <w:pPr>
      <w:spacing w:after="0" w:line="240" w:lineRule="auto"/>
    </w:pPr>
    <w:rPr>
      <w:rFonts w:ascii="Times New Roman" w:eastAsia="Times New Roman" w:hAnsi="Times New Roman" w:cs="Times New Roman"/>
      <w:sz w:val="24"/>
      <w:szCs w:val="24"/>
      <w:lang w:val="en-US" w:eastAsia="lt-LT"/>
    </w:rPr>
  </w:style>
  <w:style w:type="character" w:customStyle="1" w:styleId="NoSpacingChar">
    <w:name w:val="No Spacing Char"/>
    <w:link w:val="NoSpacing"/>
    <w:uiPriority w:val="1"/>
    <w:rsid w:val="00050DFF"/>
    <w:rPr>
      <w:rFonts w:ascii="Times New Roman" w:eastAsia="Times New Roman" w:hAnsi="Times New Roman" w:cs="Times New Roman"/>
      <w:sz w:val="24"/>
      <w:szCs w:val="24"/>
      <w:lang w:val="en-US" w:eastAsia="lt-LT"/>
    </w:rPr>
  </w:style>
  <w:style w:type="character" w:styleId="Strong">
    <w:name w:val="Strong"/>
    <w:qFormat/>
    <w:rsid w:val="00050DFF"/>
    <w:rPr>
      <w:b/>
      <w:bCs/>
    </w:rPr>
  </w:style>
  <w:style w:type="paragraph" w:styleId="NormalWeb">
    <w:name w:val="Normal (Web)"/>
    <w:basedOn w:val="Normal"/>
    <w:uiPriority w:val="99"/>
    <w:unhideWhenUsed/>
    <w:rsid w:val="00050DF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ubtleEmphasis">
    <w:name w:val="Subtle Emphasis"/>
    <w:uiPriority w:val="19"/>
    <w:qFormat/>
    <w:rsid w:val="003536CA"/>
    <w:rPr>
      <w:i/>
      <w:iCs/>
      <w:color w:val="5A5A5A" w:themeColor="text1" w:themeTint="A5"/>
    </w:rPr>
  </w:style>
  <w:style w:type="paragraph" w:customStyle="1" w:styleId="Default">
    <w:name w:val="Default"/>
    <w:uiPriority w:val="99"/>
    <w:rsid w:val="004F19FF"/>
    <w:pPr>
      <w:autoSpaceDE w:val="0"/>
      <w:autoSpaceDN w:val="0"/>
      <w:adjustRightInd w:val="0"/>
      <w:spacing w:after="0" w:line="240" w:lineRule="auto"/>
    </w:pPr>
    <w:rPr>
      <w:rFonts w:ascii="Times New Roman" w:hAnsi="Times New Roman" w:cs="Times New Roman"/>
      <w:color w:val="000000"/>
      <w:sz w:val="24"/>
      <w:szCs w:val="24"/>
      <w:lang w:val="ms-MY"/>
    </w:rPr>
  </w:style>
  <w:style w:type="paragraph" w:customStyle="1" w:styleId="a">
    <w:name w:val="متن"/>
    <w:basedOn w:val="Normal"/>
    <w:link w:val="Char"/>
    <w:qFormat/>
    <w:rsid w:val="00594133"/>
    <w:pPr>
      <w:bidi/>
      <w:spacing w:after="0" w:line="240" w:lineRule="auto"/>
      <w:ind w:firstLine="397"/>
      <w:jc w:val="both"/>
    </w:pPr>
    <w:rPr>
      <w:rFonts w:ascii="Traditional Arabic" w:eastAsia="Calibri" w:hAnsi="Traditional Arabic" w:cs="Traditional Arabic"/>
      <w:sz w:val="36"/>
      <w:szCs w:val="36"/>
      <w:lang w:val="en-US"/>
    </w:rPr>
  </w:style>
  <w:style w:type="character" w:customStyle="1" w:styleId="Char">
    <w:name w:val="متن Char"/>
    <w:link w:val="a"/>
    <w:rsid w:val="00594133"/>
    <w:rPr>
      <w:rFonts w:ascii="Traditional Arabic" w:eastAsia="Calibri" w:hAnsi="Traditional Arabic" w:cs="Traditional Arabic"/>
      <w:sz w:val="36"/>
      <w:szCs w:val="36"/>
      <w:lang w:val="en-US"/>
    </w:rPr>
  </w:style>
  <w:style w:type="character" w:customStyle="1" w:styleId="Heading2Char">
    <w:name w:val="Heading 2 Char"/>
    <w:basedOn w:val="DefaultParagraphFont"/>
    <w:link w:val="Heading2"/>
    <w:uiPriority w:val="9"/>
    <w:semiHidden/>
    <w:rsid w:val="0059413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141205">
      <w:bodyDiv w:val="1"/>
      <w:marLeft w:val="0"/>
      <w:marRight w:val="0"/>
      <w:marTop w:val="0"/>
      <w:marBottom w:val="0"/>
      <w:divBdr>
        <w:top w:val="none" w:sz="0" w:space="0" w:color="auto"/>
        <w:left w:val="none" w:sz="0" w:space="0" w:color="auto"/>
        <w:bottom w:val="none" w:sz="0" w:space="0" w:color="auto"/>
        <w:right w:val="none" w:sz="0" w:space="0" w:color="auto"/>
      </w:divBdr>
    </w:div>
    <w:div w:id="1485663811">
      <w:bodyDiv w:val="1"/>
      <w:marLeft w:val="0"/>
      <w:marRight w:val="0"/>
      <w:marTop w:val="0"/>
      <w:marBottom w:val="0"/>
      <w:divBdr>
        <w:top w:val="none" w:sz="0" w:space="0" w:color="auto"/>
        <w:left w:val="none" w:sz="0" w:space="0" w:color="auto"/>
        <w:bottom w:val="none" w:sz="0" w:space="0" w:color="auto"/>
        <w:right w:val="none" w:sz="0" w:space="0" w:color="auto"/>
      </w:divBdr>
    </w:div>
    <w:div w:id="188436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tiyawan@usim.edu.m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infad-pc</dc:creator>
  <cp:keywords/>
  <dc:description/>
  <cp:lastModifiedBy>Mualimin Mohd Sahid</cp:lastModifiedBy>
  <cp:revision>2</cp:revision>
  <dcterms:created xsi:type="dcterms:W3CDTF">2019-09-04T00:29:00Z</dcterms:created>
  <dcterms:modified xsi:type="dcterms:W3CDTF">2019-09-04T00:29:00Z</dcterms:modified>
</cp:coreProperties>
</file>